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90" w:lineRule="atLeast"/>
        <w:rPr>
          <w:rFonts w:hint="default" w:cs="宋体"/>
          <w:b/>
          <w:sz w:val="28"/>
          <w:szCs w:val="28"/>
        </w:rPr>
      </w:pPr>
      <w:bookmarkStart w:id="1" w:name="_GoBack"/>
      <w:r>
        <w:rPr>
          <w:rFonts w:ascii="仿宋" w:hAnsi="仿宋" w:eastAsia="仿宋"/>
          <w:kern w:val="2"/>
          <w:sz w:val="32"/>
          <w:szCs w:val="32"/>
        </w:rPr>
        <w:t>附件2.勘察综合评估法</w:t>
      </w:r>
    </w:p>
    <w:bookmarkEnd w:id="1"/>
    <w:p>
      <w:pPr>
        <w:pStyle w:val="2"/>
        <w:shd w:val="clear" w:color="auto" w:fill="FFFFFF"/>
        <w:spacing w:beforeAutospacing="0" w:after="375" w:afterAutospacing="0" w:line="360" w:lineRule="auto"/>
        <w:ind w:firstLine="1606" w:firstLineChars="500"/>
        <w:rPr>
          <w:rFonts w:hint="default" w:ascii="黑体" w:hAnsi="黑体" w:eastAsia="黑体" w:cs="黑体"/>
          <w:b/>
          <w:sz w:val="32"/>
          <w:szCs w:val="32"/>
        </w:rPr>
      </w:pPr>
      <w:r>
        <w:rPr>
          <w:rFonts w:ascii="黑体" w:hAnsi="黑体" w:eastAsia="黑体" w:cs="黑体"/>
          <w:b/>
          <w:sz w:val="32"/>
          <w:szCs w:val="32"/>
        </w:rPr>
        <w:t>勘察综合评估法（适用于资格后审项目）</w:t>
      </w:r>
    </w:p>
    <w:p>
      <w:pPr>
        <w:widowControl/>
        <w:spacing w:line="480" w:lineRule="exact"/>
        <w:ind w:firstLine="643" w:firstLineChars="200"/>
        <w:rPr>
          <w:rFonts w:ascii="宋体" w:hAnsi="宋体"/>
        </w:rPr>
      </w:pPr>
      <w:r>
        <w:rPr>
          <w:rFonts w:hint="eastAsia" w:ascii="宋体" w:hAnsi="宋体" w:cs="宋体"/>
          <w:b/>
        </w:rPr>
        <w:t>勘察综合评估法</w:t>
      </w:r>
      <w:r>
        <w:rPr>
          <w:rFonts w:hint="eastAsia" w:ascii="宋体" w:hAnsi="宋体"/>
          <w:spacing w:val="-12"/>
        </w:rPr>
        <w:t>是指对通过资格审查的投标人</w:t>
      </w:r>
      <w:r>
        <w:rPr>
          <w:rFonts w:hint="eastAsia" w:ascii="宋体" w:hAnsi="宋体"/>
        </w:rPr>
        <w:t>采用百分制记分法分别进行技术、资信、商务报价评分，按总分从高到低推荐中标候选人。</w:t>
      </w:r>
    </w:p>
    <w:p>
      <w:pPr>
        <w:widowControl/>
        <w:spacing w:after="150" w:line="480" w:lineRule="exact"/>
        <w:ind w:firstLine="433"/>
        <w:rPr>
          <w:rFonts w:ascii="宋体" w:hAnsi="宋体"/>
        </w:rPr>
      </w:pPr>
      <w:r>
        <w:rPr>
          <w:rFonts w:hint="eastAsia" w:ascii="宋体" w:hAnsi="宋体"/>
        </w:rPr>
        <w:t>总分=技术分（6</w:t>
      </w:r>
      <w:r>
        <w:rPr>
          <w:rFonts w:ascii="宋体" w:hAnsi="宋体"/>
        </w:rPr>
        <w:t>0</w:t>
      </w:r>
      <w:r>
        <w:rPr>
          <w:rFonts w:hint="eastAsia" w:ascii="宋体" w:hAnsi="宋体"/>
        </w:rPr>
        <w:t>分）+资信分（15分）+商务分（25分）</w:t>
      </w:r>
    </w:p>
    <w:p>
      <w:pPr>
        <w:spacing w:line="480" w:lineRule="exact"/>
        <w:ind w:firstLine="540"/>
        <w:rPr>
          <w:rFonts w:ascii="宋体" w:hAnsi="宋体"/>
          <w:b/>
        </w:rPr>
      </w:pPr>
      <w:r>
        <w:rPr>
          <w:rFonts w:hint="eastAsia" w:ascii="宋体" w:hAnsi="宋体"/>
          <w:b/>
        </w:rPr>
        <w:t>一、评标程序</w:t>
      </w:r>
    </w:p>
    <w:p>
      <w:pPr>
        <w:spacing w:line="480" w:lineRule="exact"/>
        <w:rPr>
          <w:rFonts w:ascii="宋体" w:hAnsi="宋体"/>
        </w:rPr>
      </w:pPr>
      <w:r>
        <w:rPr>
          <w:rFonts w:hint="eastAsia" w:ascii="宋体" w:hAnsi="宋体"/>
        </w:rPr>
        <w:t xml:space="preserve">   （一）资格审查</w:t>
      </w:r>
    </w:p>
    <w:p>
      <w:pPr>
        <w:spacing w:line="480" w:lineRule="exact"/>
        <w:rPr>
          <w:rFonts w:ascii="宋体" w:hAnsi="宋体"/>
        </w:rPr>
      </w:pPr>
      <w:r>
        <w:rPr>
          <w:rFonts w:hint="eastAsia" w:ascii="宋体" w:hAnsi="宋体"/>
        </w:rPr>
        <w:t xml:space="preserve">   （二）技术评审</w:t>
      </w:r>
    </w:p>
    <w:p>
      <w:pPr>
        <w:spacing w:line="480" w:lineRule="exact"/>
        <w:ind w:firstLine="480" w:firstLineChars="150"/>
        <w:rPr>
          <w:rFonts w:ascii="宋体" w:hAnsi="宋体"/>
        </w:rPr>
      </w:pPr>
      <w:r>
        <w:rPr>
          <w:rFonts w:hint="eastAsia" w:ascii="宋体" w:hAnsi="宋体"/>
        </w:rPr>
        <w:t>（三）符合性评审</w:t>
      </w:r>
    </w:p>
    <w:p>
      <w:pPr>
        <w:spacing w:line="480" w:lineRule="exact"/>
        <w:rPr>
          <w:rFonts w:ascii="宋体" w:hAnsi="宋体"/>
        </w:rPr>
      </w:pPr>
      <w:r>
        <w:rPr>
          <w:rFonts w:hint="eastAsia" w:ascii="宋体" w:hAnsi="宋体"/>
        </w:rPr>
        <w:t xml:space="preserve">   （四）资信评审</w:t>
      </w:r>
    </w:p>
    <w:p>
      <w:pPr>
        <w:spacing w:line="480" w:lineRule="exact"/>
        <w:rPr>
          <w:rFonts w:ascii="宋体" w:hAnsi="宋体"/>
        </w:rPr>
      </w:pPr>
      <w:r>
        <w:rPr>
          <w:rFonts w:hint="eastAsia" w:ascii="宋体" w:hAnsi="宋体"/>
        </w:rPr>
        <w:t xml:space="preserve">   （五）商务评审 </w:t>
      </w:r>
    </w:p>
    <w:p>
      <w:pPr>
        <w:spacing w:line="480" w:lineRule="exact"/>
        <w:ind w:firstLine="480" w:firstLineChars="150"/>
        <w:rPr>
          <w:rFonts w:ascii="宋体" w:hAnsi="宋体"/>
        </w:rPr>
      </w:pPr>
      <w:r>
        <w:rPr>
          <w:rFonts w:hint="eastAsia" w:ascii="宋体" w:hAnsi="宋体"/>
        </w:rPr>
        <w:t>（六）推荐中标候选人</w:t>
      </w:r>
    </w:p>
    <w:p>
      <w:pPr>
        <w:spacing w:line="480" w:lineRule="exact"/>
        <w:ind w:firstLine="640" w:firstLineChars="200"/>
        <w:rPr>
          <w:rFonts w:ascii="宋体" w:hAnsi="宋体" w:cs="宋体"/>
        </w:rPr>
      </w:pPr>
    </w:p>
    <w:p>
      <w:pPr>
        <w:spacing w:line="480" w:lineRule="exact"/>
        <w:ind w:firstLine="640" w:firstLineChars="200"/>
        <w:rPr>
          <w:rFonts w:ascii="宋体" w:hAnsi="宋体"/>
          <w:b/>
        </w:rPr>
      </w:pPr>
      <w:r>
        <w:rPr>
          <w:rFonts w:hint="eastAsia" w:ascii="宋体" w:hAnsi="宋体" w:cs="宋体"/>
        </w:rPr>
        <w:t>二</w:t>
      </w:r>
      <w:r>
        <w:rPr>
          <w:rFonts w:hint="eastAsia" w:ascii="宋体" w:hAnsi="宋体"/>
          <w:b/>
        </w:rPr>
        <w:t>、资格审查</w:t>
      </w:r>
    </w:p>
    <w:p>
      <w:pPr>
        <w:spacing w:line="480" w:lineRule="exact"/>
        <w:rPr>
          <w:rFonts w:ascii="宋体" w:hAnsi="宋体"/>
        </w:rPr>
      </w:pPr>
      <w:r>
        <w:rPr>
          <w:rFonts w:hint="eastAsia" w:ascii="宋体" w:hAnsi="宋体"/>
        </w:rPr>
        <w:t xml:space="preserve">    </w:t>
      </w:r>
      <w:r>
        <w:rPr>
          <w:rFonts w:ascii="宋体" w:hAnsi="宋体"/>
        </w:rPr>
        <w:t>评标委员会对投标人的投标资格进行审查。</w:t>
      </w:r>
      <w:r>
        <w:rPr>
          <w:rFonts w:hint="eastAsia" w:ascii="宋体" w:hAnsi="宋体" w:cs="宋体"/>
        </w:rPr>
        <w:t>存在下列情形之一的，</w:t>
      </w:r>
      <w:r>
        <w:rPr>
          <w:rFonts w:hint="eastAsia" w:ascii="宋体" w:hAnsi="宋体"/>
        </w:rPr>
        <w:t>资格审查不通过的，否决其投标：</w:t>
      </w:r>
      <w:r>
        <w:rPr>
          <w:rFonts w:hint="eastAsia" w:ascii="宋体" w:hAnsi="宋体"/>
          <w:color w:val="FF0000"/>
        </w:rPr>
        <w:t xml:space="preserve"> </w:t>
      </w:r>
    </w:p>
    <w:p>
      <w:pPr>
        <w:widowControl/>
        <w:spacing w:after="150" w:line="480" w:lineRule="exact"/>
        <w:ind w:firstLine="640" w:firstLineChars="200"/>
        <w:rPr>
          <w:rFonts w:ascii="宋体" w:hAnsi="宋体"/>
          <w:lang w:val="zh-CN"/>
        </w:rPr>
      </w:pPr>
      <w:r>
        <w:rPr>
          <w:rFonts w:hint="eastAsia" w:ascii="宋体" w:hAnsi="宋体"/>
          <w:lang w:val="zh-CN"/>
        </w:rPr>
        <w:t>（一）</w:t>
      </w:r>
      <w:r>
        <w:rPr>
          <w:rFonts w:ascii="宋体" w:hAnsi="宋体"/>
        </w:rPr>
        <w:t>投标人不满足招标文件载明的企业资质、</w:t>
      </w:r>
      <w:r>
        <w:rPr>
          <w:rFonts w:hint="eastAsia" w:ascii="宋体" w:hAnsi="宋体"/>
        </w:rPr>
        <w:t>业绩条件（若有）</w:t>
      </w:r>
      <w:r>
        <w:rPr>
          <w:rFonts w:ascii="宋体" w:hAnsi="宋体"/>
        </w:rPr>
        <w:t>的</w:t>
      </w:r>
      <w:r>
        <w:rPr>
          <w:rFonts w:hint="eastAsia" w:ascii="宋体" w:hAnsi="宋体"/>
          <w:lang w:val="zh-CN"/>
        </w:rPr>
        <w:t>；</w:t>
      </w:r>
    </w:p>
    <w:p>
      <w:pPr>
        <w:widowControl/>
        <w:spacing w:after="150" w:line="480" w:lineRule="exact"/>
        <w:ind w:firstLine="640" w:firstLineChars="200"/>
        <w:rPr>
          <w:rFonts w:ascii="宋体" w:hAnsi="宋体"/>
          <w:lang w:val="zh-CN"/>
        </w:rPr>
      </w:pPr>
      <w:r>
        <w:rPr>
          <w:rFonts w:hint="eastAsia" w:ascii="宋体" w:hAnsi="宋体"/>
          <w:lang w:val="zh-CN"/>
        </w:rPr>
        <w:t>（二）</w:t>
      </w:r>
      <w:r>
        <w:rPr>
          <w:rFonts w:ascii="宋体" w:hAnsi="宋体"/>
        </w:rPr>
        <w:t>投标人未按照招标文件的要求提交投标保证金的</w:t>
      </w:r>
      <w:r>
        <w:rPr>
          <w:rFonts w:hint="eastAsia" w:ascii="宋体" w:hAnsi="宋体"/>
          <w:lang w:val="zh-CN"/>
        </w:rPr>
        <w:t>；</w:t>
      </w:r>
    </w:p>
    <w:p>
      <w:pPr>
        <w:spacing w:line="480" w:lineRule="exact"/>
        <w:ind w:firstLine="640" w:firstLineChars="200"/>
        <w:rPr>
          <w:rFonts w:ascii="宋体" w:hAnsi="宋体"/>
        </w:rPr>
      </w:pPr>
      <w:r>
        <w:rPr>
          <w:rFonts w:hint="eastAsia" w:ascii="宋体" w:hAnsi="宋体"/>
        </w:rPr>
        <w:t>（三）投标人</w:t>
      </w:r>
      <w:r>
        <w:rPr>
          <w:rFonts w:ascii="宋体" w:hAnsi="宋体"/>
        </w:rPr>
        <w:t>被有关行政监管部门通报限制投标且在限制期内的；</w:t>
      </w:r>
    </w:p>
    <w:p>
      <w:pPr>
        <w:widowControl/>
        <w:spacing w:after="150" w:line="480" w:lineRule="exact"/>
        <w:ind w:firstLine="640" w:firstLineChars="200"/>
        <w:rPr>
          <w:rFonts w:ascii="宋体" w:hAnsi="宋体"/>
        </w:rPr>
      </w:pPr>
      <w:r>
        <w:rPr>
          <w:rFonts w:hint="eastAsia" w:ascii="宋体" w:hAnsi="宋体"/>
        </w:rPr>
        <w:t>（四）</w:t>
      </w:r>
      <w:r>
        <w:rPr>
          <w:rFonts w:ascii="宋体" w:hAnsi="宋体"/>
        </w:rPr>
        <w:t>不同投标人的投标文件检测码一致的</w:t>
      </w:r>
      <w:r>
        <w:rPr>
          <w:rFonts w:hint="eastAsia" w:ascii="宋体" w:hAnsi="宋体"/>
        </w:rPr>
        <w:t>；</w:t>
      </w:r>
    </w:p>
    <w:p>
      <w:pPr>
        <w:spacing w:line="480" w:lineRule="exact"/>
        <w:ind w:firstLine="640" w:firstLineChars="200"/>
        <w:rPr>
          <w:rFonts w:ascii="宋体" w:hAnsi="宋体"/>
        </w:rPr>
      </w:pPr>
      <w:r>
        <w:rPr>
          <w:rFonts w:hint="eastAsia" w:ascii="宋体" w:hAnsi="宋体"/>
        </w:rPr>
        <w:t>（五）</w:t>
      </w:r>
      <w:r>
        <w:rPr>
          <w:rFonts w:ascii="宋体" w:hAnsi="宋体"/>
        </w:rPr>
        <w:t>不符合资格条件的其他情形。</w:t>
      </w:r>
    </w:p>
    <w:p>
      <w:pPr>
        <w:spacing w:line="480" w:lineRule="exact"/>
        <w:ind w:firstLine="640" w:firstLineChars="200"/>
        <w:rPr>
          <w:rFonts w:ascii="宋体" w:hAnsi="宋体"/>
        </w:rPr>
      </w:pPr>
      <w:r>
        <w:rPr>
          <w:rFonts w:ascii="宋体" w:hAnsi="宋体"/>
        </w:rPr>
        <w:t>招标</w:t>
      </w:r>
      <w:r>
        <w:rPr>
          <w:rFonts w:hint="eastAsia" w:ascii="宋体" w:hAnsi="宋体"/>
        </w:rPr>
        <w:t>文件</w:t>
      </w:r>
      <w:r>
        <w:rPr>
          <w:rFonts w:ascii="宋体" w:hAnsi="宋体"/>
        </w:rPr>
        <w:t>设置</w:t>
      </w:r>
      <w:r>
        <w:rPr>
          <w:rFonts w:hint="eastAsia" w:ascii="宋体" w:hAnsi="宋体"/>
        </w:rPr>
        <w:t>工程</w:t>
      </w:r>
      <w:r>
        <w:rPr>
          <w:rFonts w:ascii="宋体" w:hAnsi="宋体"/>
        </w:rPr>
        <w:t>业绩</w:t>
      </w:r>
      <w:r>
        <w:rPr>
          <w:rFonts w:hint="eastAsia" w:ascii="宋体" w:hAnsi="宋体"/>
        </w:rPr>
        <w:t>作为资格条件</w:t>
      </w:r>
      <w:r>
        <w:rPr>
          <w:rFonts w:ascii="宋体" w:hAnsi="宋体"/>
        </w:rPr>
        <w:t>的，</w:t>
      </w:r>
      <w:r>
        <w:rPr>
          <w:rFonts w:hint="eastAsia" w:ascii="宋体" w:hAnsi="宋体"/>
        </w:rPr>
        <w:t>若</w:t>
      </w:r>
      <w:r>
        <w:rPr>
          <w:rFonts w:ascii="宋体" w:hAnsi="宋体"/>
        </w:rPr>
        <w:t>通过资格审查的投标人</w:t>
      </w:r>
      <w:r>
        <w:rPr>
          <w:rFonts w:ascii="宋体" w:hAnsi="宋体" w:cs="宋体"/>
        </w:rPr>
        <w:t>＜</w:t>
      </w:r>
      <w:r>
        <w:rPr>
          <w:rFonts w:hint="eastAsia" w:ascii="宋体" w:hAnsi="宋体"/>
        </w:rPr>
        <w:t>7个</w:t>
      </w:r>
      <w:r>
        <w:rPr>
          <w:rFonts w:ascii="宋体" w:hAnsi="宋体"/>
        </w:rPr>
        <w:t>的</w:t>
      </w:r>
      <w:r>
        <w:rPr>
          <w:rFonts w:hint="eastAsia" w:ascii="宋体" w:hAnsi="宋体"/>
        </w:rPr>
        <w:t>，评标委员会应当否决所有投标。</w:t>
      </w:r>
      <w:r>
        <w:rPr>
          <w:rFonts w:ascii="宋体" w:hAnsi="宋体"/>
        </w:rPr>
        <w:t>招标人</w:t>
      </w:r>
      <w:r>
        <w:rPr>
          <w:rFonts w:hint="eastAsia" w:ascii="宋体" w:hAnsi="宋体"/>
        </w:rPr>
        <w:t>应分析原因、</w:t>
      </w:r>
      <w:r>
        <w:rPr>
          <w:rFonts w:ascii="宋体" w:hAnsi="宋体"/>
        </w:rPr>
        <w:t>降低条件后重新招标。</w:t>
      </w:r>
    </w:p>
    <w:p>
      <w:pPr>
        <w:widowControl/>
        <w:spacing w:after="150" w:line="480" w:lineRule="exact"/>
        <w:ind w:firstLine="643" w:firstLineChars="200"/>
        <w:rPr>
          <w:rFonts w:ascii="宋体" w:hAnsi="宋体"/>
          <w:b/>
          <w:bCs/>
        </w:rPr>
      </w:pPr>
    </w:p>
    <w:p>
      <w:pPr>
        <w:widowControl/>
        <w:spacing w:after="150" w:line="480" w:lineRule="exact"/>
        <w:ind w:firstLine="643" w:firstLineChars="200"/>
        <w:rPr>
          <w:rFonts w:ascii="宋体" w:hAnsi="宋体"/>
        </w:rPr>
      </w:pPr>
      <w:r>
        <w:rPr>
          <w:rFonts w:hint="eastAsia" w:ascii="宋体" w:hAnsi="宋体"/>
          <w:b/>
          <w:bCs/>
        </w:rPr>
        <w:t>三、技术标评审</w:t>
      </w:r>
      <w:r>
        <w:rPr>
          <w:rFonts w:hint="eastAsia" w:ascii="宋体" w:hAnsi="宋体"/>
        </w:rPr>
        <w:t>（暗标6</w:t>
      </w:r>
      <w:r>
        <w:rPr>
          <w:rFonts w:ascii="宋体" w:hAnsi="宋体"/>
        </w:rPr>
        <w:t>0</w:t>
      </w:r>
      <w:r>
        <w:rPr>
          <w:rFonts w:hint="eastAsia" w:ascii="宋体" w:hAnsi="宋体"/>
        </w:rPr>
        <w:t>分）</w:t>
      </w:r>
    </w:p>
    <w:p>
      <w:pPr>
        <w:pStyle w:val="5"/>
        <w:spacing w:line="480" w:lineRule="exact"/>
        <w:ind w:firstLine="640" w:firstLineChars="200"/>
        <w:rPr>
          <w:rFonts w:ascii="宋体" w:hAnsi="宋体" w:eastAsia="仿宋_GB2312"/>
          <w:color w:val="auto"/>
          <w:sz w:val="32"/>
          <w:szCs w:val="24"/>
        </w:rPr>
      </w:pPr>
      <w:r>
        <w:rPr>
          <w:rFonts w:hint="eastAsia" w:ascii="宋体" w:hAnsi="宋体" w:eastAsia="仿宋_GB2312"/>
          <w:color w:val="auto"/>
          <w:sz w:val="32"/>
          <w:szCs w:val="24"/>
        </w:rPr>
        <w:t>评标委员会对违反暗标规定的技术标评审不予通过，否决其投标。</w:t>
      </w:r>
    </w:p>
    <w:p>
      <w:pPr>
        <w:pStyle w:val="5"/>
        <w:spacing w:line="480" w:lineRule="exact"/>
        <w:ind w:firstLine="640" w:firstLineChars="200"/>
        <w:rPr>
          <w:rFonts w:ascii="宋体" w:hAnsi="宋体" w:eastAsia="仿宋_GB2312"/>
          <w:color w:val="auto"/>
          <w:sz w:val="32"/>
          <w:szCs w:val="24"/>
        </w:rPr>
      </w:pPr>
      <w:r>
        <w:rPr>
          <w:rFonts w:hint="eastAsia" w:ascii="宋体" w:hAnsi="宋体" w:eastAsia="仿宋_GB2312"/>
          <w:color w:val="auto"/>
          <w:sz w:val="32"/>
          <w:szCs w:val="24"/>
        </w:rPr>
        <w:t>评标委员会各成员按招标文件明确的评审标准独立评审。投标人的技术分为全体评标委员会成员的评分去掉一个最高分和一个最低分后的平均值（评分保留一位小数，计算过程保留两位小数）。</w:t>
      </w:r>
    </w:p>
    <w:p>
      <w:pPr>
        <w:pStyle w:val="5"/>
        <w:spacing w:line="480" w:lineRule="exact"/>
        <w:ind w:firstLine="640" w:firstLineChars="200"/>
        <w:rPr>
          <w:rFonts w:ascii="宋体" w:hAnsi="宋体" w:eastAsia="仿宋_GB2312"/>
          <w:color w:val="auto"/>
          <w:sz w:val="32"/>
          <w:szCs w:val="24"/>
        </w:rPr>
      </w:pPr>
      <w:r>
        <w:rPr>
          <w:rFonts w:hint="eastAsia" w:ascii="宋体" w:hAnsi="宋体" w:eastAsia="仿宋_GB2312"/>
          <w:color w:val="auto"/>
          <w:sz w:val="32"/>
          <w:szCs w:val="24"/>
        </w:rPr>
        <w:t>技术评审因素主要包含以下内容：</w:t>
      </w:r>
    </w:p>
    <w:tbl>
      <w:tblPr>
        <w:tblStyle w:val="3"/>
        <w:tblW w:w="5187" w:type="pct"/>
        <w:tblInd w:w="-318" w:type="dxa"/>
        <w:tblLayout w:type="autofit"/>
        <w:tblCellMar>
          <w:top w:w="0" w:type="dxa"/>
          <w:left w:w="108" w:type="dxa"/>
          <w:bottom w:w="0" w:type="dxa"/>
          <w:right w:w="108" w:type="dxa"/>
        </w:tblCellMar>
      </w:tblPr>
      <w:tblGrid>
        <w:gridCol w:w="1383"/>
        <w:gridCol w:w="6132"/>
        <w:gridCol w:w="1326"/>
      </w:tblGrid>
      <w:tr>
        <w:tblPrEx>
          <w:tblCellMar>
            <w:top w:w="0" w:type="dxa"/>
            <w:left w:w="108" w:type="dxa"/>
            <w:bottom w:w="0" w:type="dxa"/>
            <w:right w:w="108" w:type="dxa"/>
          </w:tblCellMar>
        </w:tblPrEx>
        <w:trPr>
          <w:trHeight w:val="684" w:hRule="atLeast"/>
        </w:trPr>
        <w:tc>
          <w:tcPr>
            <w:tcW w:w="425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 xml:space="preserve">评审因素及评审内容 </w:t>
            </w:r>
          </w:p>
        </w:tc>
        <w:tc>
          <w:tcPr>
            <w:tcW w:w="750" w:type="pct"/>
            <w:tcBorders>
              <w:top w:val="single" w:color="auto" w:sz="4" w:space="0"/>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分值</w:t>
            </w:r>
          </w:p>
        </w:tc>
      </w:tr>
      <w:tr>
        <w:tblPrEx>
          <w:tblCellMar>
            <w:top w:w="0" w:type="dxa"/>
            <w:left w:w="108" w:type="dxa"/>
            <w:bottom w:w="0" w:type="dxa"/>
            <w:right w:w="108" w:type="dxa"/>
          </w:tblCellMar>
        </w:tblPrEx>
        <w:trPr>
          <w:trHeight w:val="799" w:hRule="atLeast"/>
        </w:trPr>
        <w:tc>
          <w:tcPr>
            <w:tcW w:w="7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综合说明</w:t>
            </w:r>
          </w:p>
        </w:tc>
        <w:tc>
          <w:tcPr>
            <w:tcW w:w="3468" w:type="pct"/>
            <w:tcBorders>
              <w:top w:val="single" w:color="auto" w:sz="4" w:space="0"/>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根据工程概况、编制依据、原则，对拟建工程的认识、拟建场地的地质特征分析是否合理</w:t>
            </w:r>
          </w:p>
        </w:tc>
        <w:tc>
          <w:tcPr>
            <w:tcW w:w="750" w:type="pct"/>
            <w:tcBorders>
              <w:top w:val="single" w:color="auto" w:sz="4" w:space="0"/>
              <w:left w:val="nil"/>
              <w:bottom w:val="single" w:color="auto" w:sz="4" w:space="0"/>
              <w:right w:val="single" w:color="auto" w:sz="4" w:space="0"/>
            </w:tcBorders>
            <w:vAlign w:val="center"/>
          </w:tcPr>
          <w:p>
            <w:pPr>
              <w:widowControl/>
              <w:jc w:val="center"/>
              <w:rPr>
                <w:rFonts w:ascii="宋体" w:hAnsi="宋体"/>
                <w:sz w:val="21"/>
                <w:szCs w:val="21"/>
              </w:rPr>
            </w:pPr>
            <w:r>
              <w:rPr>
                <w:rFonts w:ascii="宋体" w:hAnsi="宋体"/>
                <w:sz w:val="21"/>
                <w:szCs w:val="21"/>
              </w:rPr>
              <w:t>2</w:t>
            </w:r>
            <w:r>
              <w:rPr>
                <w:rFonts w:hint="eastAsia" w:ascii="宋体" w:hAnsi="宋体" w:cs="Arial"/>
                <w:sz w:val="21"/>
                <w:szCs w:val="21"/>
              </w:rPr>
              <w:t>～</w:t>
            </w:r>
            <w:r>
              <w:rPr>
                <w:rFonts w:ascii="宋体" w:hAnsi="宋体"/>
                <w:sz w:val="21"/>
                <w:szCs w:val="21"/>
              </w:rPr>
              <w:t>4</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勘察内容</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勘察目的和内容分析，项目主要技术问题，勘察工作重、难点分析是否合理</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ascii="宋体" w:hAnsi="宋体"/>
                <w:sz w:val="21"/>
                <w:szCs w:val="21"/>
              </w:rPr>
              <w:t>3</w:t>
            </w:r>
            <w:r>
              <w:rPr>
                <w:rFonts w:hint="eastAsia" w:ascii="宋体" w:hAnsi="宋体" w:cs="Arial"/>
                <w:sz w:val="21"/>
                <w:szCs w:val="21"/>
              </w:rPr>
              <w:t>～</w:t>
            </w:r>
            <w:r>
              <w:rPr>
                <w:rFonts w:ascii="宋体" w:hAnsi="宋体"/>
                <w:sz w:val="21"/>
                <w:szCs w:val="21"/>
              </w:rPr>
              <w:t>6</w:t>
            </w:r>
          </w:p>
        </w:tc>
      </w:tr>
      <w:tr>
        <w:tblPrEx>
          <w:tblCellMar>
            <w:top w:w="0" w:type="dxa"/>
            <w:left w:w="108" w:type="dxa"/>
            <w:bottom w:w="0" w:type="dxa"/>
            <w:right w:w="108" w:type="dxa"/>
          </w:tblCellMar>
        </w:tblPrEx>
        <w:trPr>
          <w:trHeight w:val="818" w:hRule="atLeast"/>
        </w:trPr>
        <w:tc>
          <w:tcPr>
            <w:tcW w:w="782" w:type="pct"/>
            <w:vMerge w:val="restart"/>
            <w:tcBorders>
              <w:top w:val="nil"/>
              <w:left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勘察方案</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针对勘察内容，技术问题、重点、难点分析是否合理，勘察工作量布置、勘探孔的深度的是否有针对性，是否规范合理</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ascii="宋体" w:hAnsi="宋体"/>
                <w:sz w:val="21"/>
                <w:szCs w:val="21"/>
              </w:rPr>
              <w:t>4</w:t>
            </w:r>
            <w:r>
              <w:rPr>
                <w:rFonts w:hint="eastAsia" w:ascii="宋体" w:hAnsi="宋体" w:cs="Arial"/>
                <w:sz w:val="21"/>
                <w:szCs w:val="21"/>
              </w:rPr>
              <w:t>～</w:t>
            </w:r>
            <w:r>
              <w:rPr>
                <w:rFonts w:ascii="宋体" w:hAnsi="宋体"/>
                <w:sz w:val="21"/>
                <w:szCs w:val="21"/>
              </w:rPr>
              <w:t>8</w:t>
            </w:r>
          </w:p>
        </w:tc>
      </w:tr>
      <w:tr>
        <w:tblPrEx>
          <w:tblCellMar>
            <w:top w:w="0" w:type="dxa"/>
            <w:left w:w="108" w:type="dxa"/>
            <w:bottom w:w="0" w:type="dxa"/>
            <w:right w:w="108" w:type="dxa"/>
          </w:tblCellMar>
        </w:tblPrEx>
        <w:trPr>
          <w:trHeight w:val="703" w:hRule="atLeast"/>
        </w:trPr>
        <w:tc>
          <w:tcPr>
            <w:tcW w:w="782" w:type="pct"/>
            <w:vMerge w:val="continue"/>
            <w:tcBorders>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勘探工艺及拟采用的操作流程、技术手段是否可靠，是否具有先进性</w:t>
            </w:r>
          </w:p>
        </w:tc>
        <w:tc>
          <w:tcPr>
            <w:tcW w:w="750" w:type="pct"/>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ascii="宋体" w:hAnsi="宋体"/>
                <w:sz w:val="21"/>
                <w:szCs w:val="21"/>
              </w:rPr>
              <w:t>3</w:t>
            </w:r>
            <w:r>
              <w:rPr>
                <w:rFonts w:hint="eastAsia" w:ascii="宋体" w:hAnsi="宋体" w:cs="Arial"/>
                <w:sz w:val="21"/>
                <w:szCs w:val="21"/>
              </w:rPr>
              <w:t>～</w:t>
            </w:r>
            <w:r>
              <w:rPr>
                <w:rFonts w:ascii="宋体" w:hAnsi="宋体"/>
                <w:sz w:val="21"/>
                <w:szCs w:val="21"/>
              </w:rPr>
              <w:t>6</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不良地质</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根据现场踏勘，对拟建场地不良地质</w:t>
            </w:r>
            <w:r>
              <w:rPr>
                <w:rFonts w:ascii="宋体" w:hAnsi="宋体"/>
                <w:sz w:val="21"/>
                <w:szCs w:val="21"/>
              </w:rPr>
              <w:t>作用</w:t>
            </w:r>
            <w:r>
              <w:rPr>
                <w:rFonts w:hint="eastAsia" w:ascii="宋体" w:hAnsi="宋体"/>
                <w:sz w:val="21"/>
                <w:szCs w:val="21"/>
              </w:rPr>
              <w:t>、影响或地下障碍物的认识分析及探查所采取的技术手段合理性、先进性</w:t>
            </w:r>
          </w:p>
        </w:tc>
        <w:tc>
          <w:tcPr>
            <w:tcW w:w="750" w:type="pct"/>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ascii="宋体" w:hAnsi="宋体"/>
                <w:sz w:val="21"/>
                <w:szCs w:val="21"/>
              </w:rPr>
              <w:t>2</w:t>
            </w:r>
            <w:r>
              <w:rPr>
                <w:rFonts w:hint="eastAsia" w:ascii="宋体" w:hAnsi="宋体" w:cs="Arial"/>
                <w:sz w:val="21"/>
                <w:szCs w:val="21"/>
              </w:rPr>
              <w:t>～</w:t>
            </w:r>
            <w:r>
              <w:rPr>
                <w:rFonts w:ascii="宋体" w:hAnsi="宋体"/>
                <w:sz w:val="21"/>
                <w:szCs w:val="21"/>
              </w:rPr>
              <w:t>4</w:t>
            </w:r>
          </w:p>
        </w:tc>
      </w:tr>
      <w:tr>
        <w:tblPrEx>
          <w:tblCellMar>
            <w:top w:w="0" w:type="dxa"/>
            <w:left w:w="108" w:type="dxa"/>
            <w:bottom w:w="0" w:type="dxa"/>
            <w:right w:w="108" w:type="dxa"/>
          </w:tblCellMar>
        </w:tblPrEx>
        <w:trPr>
          <w:trHeight w:val="1173" w:hRule="atLeast"/>
        </w:trPr>
        <w:tc>
          <w:tcPr>
            <w:tcW w:w="782" w:type="pc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lang w:val="zh-CN"/>
              </w:rPr>
            </w:pPr>
            <w:r>
              <w:rPr>
                <w:rFonts w:hint="eastAsia" w:ascii="宋体" w:hAnsi="宋体"/>
                <w:sz w:val="21"/>
                <w:szCs w:val="21"/>
                <w:lang w:val="zh-CN"/>
              </w:rPr>
              <w:t>工程进度</w:t>
            </w:r>
          </w:p>
          <w:p>
            <w:pPr>
              <w:widowControl/>
              <w:jc w:val="center"/>
              <w:rPr>
                <w:rFonts w:ascii="宋体" w:hAnsi="宋体"/>
                <w:sz w:val="21"/>
                <w:szCs w:val="21"/>
              </w:rPr>
            </w:pPr>
            <w:r>
              <w:rPr>
                <w:rFonts w:hint="eastAsia" w:ascii="宋体" w:hAnsi="宋体"/>
                <w:sz w:val="21"/>
                <w:szCs w:val="21"/>
                <w:lang w:val="zh-CN"/>
              </w:rPr>
              <w:t>和施工组织</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组织结构、职责、拟投入的人员、拟投入的仪器设备及其它资源配置、工程进度计划是否能满足工程进度要求，资源配置是否合理，现场组织协调的重难点及解决思路或办法的可行性</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ascii="宋体" w:hAnsi="宋体"/>
                <w:sz w:val="21"/>
                <w:szCs w:val="21"/>
              </w:rPr>
              <w:t>5</w:t>
            </w:r>
            <w:r>
              <w:rPr>
                <w:rFonts w:hint="eastAsia" w:ascii="宋体" w:hAnsi="宋体" w:cs="Arial"/>
                <w:sz w:val="21"/>
                <w:szCs w:val="21"/>
              </w:rPr>
              <w:t>～</w:t>
            </w:r>
            <w:r>
              <w:rPr>
                <w:rFonts w:ascii="宋体" w:hAnsi="宋体"/>
                <w:sz w:val="21"/>
                <w:szCs w:val="21"/>
              </w:rPr>
              <w:t>10</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保障措施</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质量、安全、环境管理目标及相应的保障措施是否全面合理；勘察作业期间安全生产、文明施工专项措施、对已有轨道管线等现有设施的保护措施是否全面、可行</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ascii="宋体" w:hAnsi="宋体"/>
                <w:sz w:val="21"/>
                <w:szCs w:val="21"/>
              </w:rPr>
              <w:t>4</w:t>
            </w:r>
            <w:r>
              <w:rPr>
                <w:rFonts w:hint="eastAsia" w:ascii="宋体" w:hAnsi="宋体" w:cs="Arial"/>
                <w:sz w:val="21"/>
                <w:szCs w:val="21"/>
              </w:rPr>
              <w:t>～</w:t>
            </w:r>
            <w:r>
              <w:rPr>
                <w:rFonts w:hint="eastAsia" w:ascii="宋体" w:hAnsi="宋体"/>
                <w:sz w:val="21"/>
                <w:szCs w:val="21"/>
              </w:rPr>
              <w:t>10</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合理化建议</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针对本项目勘察、设计或项目建设提出的建议及设想是否合理</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ascii="宋体" w:hAnsi="宋体"/>
                <w:sz w:val="21"/>
                <w:szCs w:val="21"/>
              </w:rPr>
              <w:t>2</w:t>
            </w:r>
            <w:r>
              <w:rPr>
                <w:rFonts w:hint="eastAsia" w:ascii="宋体" w:hAnsi="宋体" w:cs="Arial"/>
                <w:sz w:val="21"/>
                <w:szCs w:val="21"/>
              </w:rPr>
              <w:t>～</w:t>
            </w:r>
            <w:r>
              <w:rPr>
                <w:rFonts w:ascii="宋体" w:hAnsi="宋体"/>
                <w:sz w:val="21"/>
                <w:szCs w:val="21"/>
              </w:rPr>
              <w:t>4</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成果报告</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勘察成果报告章节及主要内容的表述是否全面、合理，是否满足规范及审查要求</w:t>
            </w:r>
          </w:p>
        </w:tc>
        <w:tc>
          <w:tcPr>
            <w:tcW w:w="750" w:type="pct"/>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ascii="宋体" w:hAnsi="宋体"/>
                <w:sz w:val="21"/>
                <w:szCs w:val="21"/>
              </w:rPr>
              <w:t>1</w:t>
            </w:r>
            <w:r>
              <w:rPr>
                <w:rFonts w:hint="eastAsia" w:ascii="宋体" w:hAnsi="宋体" w:cs="Arial"/>
                <w:sz w:val="21"/>
                <w:szCs w:val="21"/>
              </w:rPr>
              <w:t>～</w:t>
            </w:r>
            <w:r>
              <w:rPr>
                <w:rFonts w:hint="eastAsia" w:ascii="宋体" w:hAnsi="宋体"/>
                <w:sz w:val="21"/>
                <w:szCs w:val="21"/>
              </w:rPr>
              <w:t>2</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后续服务</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项目后续服务计划及相应的配合承诺的可行性、针对性</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ascii="宋体" w:hAnsi="宋体"/>
                <w:sz w:val="21"/>
                <w:szCs w:val="21"/>
              </w:rPr>
              <w:t>2</w:t>
            </w:r>
            <w:r>
              <w:rPr>
                <w:rFonts w:hint="eastAsia" w:ascii="宋体" w:hAnsi="宋体" w:cs="Arial"/>
                <w:sz w:val="21"/>
                <w:szCs w:val="21"/>
              </w:rPr>
              <w:t>～</w:t>
            </w:r>
            <w:r>
              <w:rPr>
                <w:rFonts w:ascii="宋体" w:hAnsi="宋体"/>
                <w:sz w:val="21"/>
                <w:szCs w:val="21"/>
              </w:rPr>
              <w:t>4</w:t>
            </w:r>
          </w:p>
        </w:tc>
      </w:tr>
      <w:tr>
        <w:tblPrEx>
          <w:tblCellMar>
            <w:top w:w="0" w:type="dxa"/>
            <w:left w:w="108" w:type="dxa"/>
            <w:bottom w:w="0" w:type="dxa"/>
            <w:right w:w="108" w:type="dxa"/>
          </w:tblCellMar>
        </w:tblPrEx>
        <w:trPr>
          <w:trHeight w:val="799" w:hRule="atLeast"/>
        </w:trPr>
        <w:tc>
          <w:tcPr>
            <w:tcW w:w="782" w:type="pct"/>
            <w:tcBorders>
              <w:top w:val="nil"/>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其他评审因素</w:t>
            </w:r>
          </w:p>
        </w:tc>
        <w:tc>
          <w:tcPr>
            <w:tcW w:w="3468" w:type="pct"/>
            <w:tcBorders>
              <w:top w:val="nil"/>
              <w:left w:val="nil"/>
              <w:bottom w:val="single" w:color="auto" w:sz="4" w:space="0"/>
              <w:right w:val="single" w:color="auto" w:sz="4" w:space="0"/>
            </w:tcBorders>
            <w:vAlign w:val="center"/>
          </w:tcPr>
          <w:p>
            <w:pPr>
              <w:widowControl/>
              <w:rPr>
                <w:rFonts w:ascii="宋体" w:hAnsi="宋体"/>
                <w:sz w:val="21"/>
                <w:szCs w:val="21"/>
              </w:rPr>
            </w:pPr>
            <w:r>
              <w:rPr>
                <w:rFonts w:hint="eastAsia" w:ascii="宋体" w:hAnsi="宋体"/>
                <w:sz w:val="21"/>
                <w:szCs w:val="21"/>
              </w:rPr>
              <w:t>招标人可针对本工程项目的特点增加打分内容，也可将此项分值调配至上述评审条款中</w:t>
            </w:r>
          </w:p>
        </w:tc>
        <w:tc>
          <w:tcPr>
            <w:tcW w:w="750" w:type="pct"/>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宋体" w:hAnsi="宋体"/>
                <w:sz w:val="21"/>
                <w:szCs w:val="21"/>
              </w:rPr>
            </w:pPr>
            <w:r>
              <w:rPr>
                <w:rFonts w:hint="eastAsia" w:ascii="宋体" w:hAnsi="宋体"/>
                <w:sz w:val="21"/>
                <w:szCs w:val="21"/>
              </w:rPr>
              <w:t>2</w:t>
            </w:r>
          </w:p>
        </w:tc>
      </w:tr>
    </w:tbl>
    <w:p>
      <w:pPr>
        <w:widowControl/>
        <w:spacing w:after="150" w:line="500" w:lineRule="exact"/>
        <w:ind w:firstLine="480" w:firstLineChars="150"/>
        <w:rPr>
          <w:rFonts w:ascii="宋体" w:hAnsi="宋体"/>
        </w:rPr>
      </w:pPr>
    </w:p>
    <w:p>
      <w:pPr>
        <w:widowControl/>
        <w:spacing w:after="150" w:line="500" w:lineRule="exact"/>
        <w:ind w:firstLine="480" w:firstLineChars="150"/>
        <w:rPr>
          <w:rFonts w:ascii="宋体" w:hAnsi="宋体"/>
        </w:rPr>
      </w:pPr>
      <w:r>
        <w:rPr>
          <w:rFonts w:hint="eastAsia" w:ascii="宋体" w:hAnsi="宋体"/>
        </w:rPr>
        <w:t>四</w:t>
      </w:r>
      <w:r>
        <w:rPr>
          <w:rFonts w:hint="eastAsia" w:ascii="宋体" w:hAnsi="宋体"/>
          <w:b/>
          <w:bCs/>
        </w:rPr>
        <w:t>、符合性评审</w:t>
      </w:r>
    </w:p>
    <w:p>
      <w:pPr>
        <w:widowControl/>
        <w:spacing w:after="150" w:line="500" w:lineRule="exact"/>
        <w:ind w:firstLine="640" w:firstLineChars="200"/>
        <w:rPr>
          <w:rFonts w:ascii="宋体" w:hAnsi="宋体" w:cs="宋体"/>
        </w:rPr>
      </w:pPr>
      <w:r>
        <w:rPr>
          <w:rFonts w:hint="eastAsia" w:ascii="宋体" w:hAnsi="宋体" w:cs="宋体"/>
        </w:rPr>
        <w:t xml:space="preserve">投标文件存在下列情形之一的，符合性评审不予通过，否决其投标： </w:t>
      </w:r>
    </w:p>
    <w:p>
      <w:pPr>
        <w:widowControl/>
        <w:spacing w:after="150" w:line="500" w:lineRule="exact"/>
        <w:ind w:firstLine="480" w:firstLineChars="150"/>
        <w:rPr>
          <w:rFonts w:ascii="宋体" w:hAnsi="宋体" w:cs="宋体"/>
        </w:rPr>
      </w:pPr>
      <w:r>
        <w:rPr>
          <w:rFonts w:hint="eastAsia" w:ascii="宋体" w:hAnsi="宋体" w:cs="宋体"/>
        </w:rPr>
        <w:t>（一）</w:t>
      </w:r>
      <w:r>
        <w:rPr>
          <w:rFonts w:ascii="仿宋" w:hAnsi="仿宋" w:eastAsia="仿宋"/>
          <w:szCs w:val="32"/>
        </w:rPr>
        <w:t>投标文件未经投标人盖章</w:t>
      </w:r>
      <w:r>
        <w:rPr>
          <w:rFonts w:hint="eastAsia" w:ascii="仿宋" w:hAnsi="仿宋" w:eastAsia="仿宋"/>
          <w:szCs w:val="32"/>
        </w:rPr>
        <w:t>和</w:t>
      </w:r>
      <w:r>
        <w:rPr>
          <w:rFonts w:ascii="仿宋" w:hAnsi="仿宋" w:eastAsia="仿宋"/>
          <w:szCs w:val="32"/>
        </w:rPr>
        <w:t>法定代表人</w:t>
      </w:r>
      <w:r>
        <w:rPr>
          <w:rFonts w:hint="eastAsia" w:ascii="仿宋" w:hAnsi="仿宋" w:eastAsia="仿宋"/>
          <w:szCs w:val="32"/>
        </w:rPr>
        <w:t>（或授权委托人）</w:t>
      </w:r>
      <w:r>
        <w:rPr>
          <w:rFonts w:ascii="仿宋" w:hAnsi="仿宋" w:eastAsia="仿宋"/>
          <w:szCs w:val="32"/>
        </w:rPr>
        <w:t>签字</w:t>
      </w:r>
      <w:r>
        <w:rPr>
          <w:rFonts w:hint="eastAsia" w:ascii="仿宋" w:hAnsi="仿宋" w:eastAsia="仿宋"/>
          <w:szCs w:val="32"/>
        </w:rPr>
        <w:t>（或盖章）</w:t>
      </w:r>
      <w:r>
        <w:rPr>
          <w:rFonts w:ascii="仿宋" w:hAnsi="仿宋" w:eastAsia="仿宋"/>
          <w:szCs w:val="32"/>
        </w:rPr>
        <w:t>的</w:t>
      </w:r>
      <w:r>
        <w:rPr>
          <w:rFonts w:ascii="宋体" w:hAnsi="宋体" w:cs="宋体"/>
        </w:rPr>
        <w:t>；</w:t>
      </w:r>
    </w:p>
    <w:p>
      <w:pPr>
        <w:spacing w:line="480" w:lineRule="exact"/>
        <w:ind w:firstLine="420"/>
        <w:rPr>
          <w:rFonts w:ascii="宋体" w:hAnsi="宋体" w:cs="宋体"/>
        </w:rPr>
      </w:pPr>
      <w:r>
        <w:rPr>
          <w:rFonts w:hint="eastAsia" w:ascii="宋体" w:hAnsi="宋体" w:cs="宋体"/>
        </w:rPr>
        <w:t>（二）投标函未加盖投标人公章的；</w:t>
      </w:r>
    </w:p>
    <w:p>
      <w:pPr>
        <w:widowControl/>
        <w:spacing w:after="150" w:line="500" w:lineRule="exact"/>
        <w:ind w:firstLine="480" w:firstLineChars="150"/>
        <w:rPr>
          <w:rFonts w:ascii="宋体" w:hAnsi="宋体" w:cs="宋体"/>
        </w:rPr>
      </w:pPr>
      <w:r>
        <w:rPr>
          <w:rFonts w:hint="eastAsia" w:ascii="宋体" w:hAnsi="宋体" w:cs="宋体"/>
        </w:rPr>
        <w:t>（三）投标文件未按规定的格式填写，关键内容缺失的</w:t>
      </w:r>
      <w:r>
        <w:rPr>
          <w:rFonts w:ascii="宋体" w:hAnsi="宋体" w:cs="宋体"/>
        </w:rPr>
        <w:t>(含投标承诺</w:t>
      </w:r>
      <w:r>
        <w:rPr>
          <w:rFonts w:ascii="仿宋" w:hAnsi="仿宋" w:eastAsia="仿宋"/>
          <w:szCs w:val="32"/>
        </w:rPr>
        <w:t>书)</w:t>
      </w:r>
      <w:r>
        <w:rPr>
          <w:rFonts w:hint="eastAsia" w:ascii="宋体" w:hAnsi="宋体" w:cs="宋体"/>
        </w:rPr>
        <w:t>；</w:t>
      </w:r>
    </w:p>
    <w:p>
      <w:pPr>
        <w:widowControl/>
        <w:spacing w:after="150" w:line="500" w:lineRule="exact"/>
        <w:ind w:firstLine="480" w:firstLineChars="150"/>
        <w:rPr>
          <w:rFonts w:ascii="宋体" w:hAnsi="宋体" w:cs="宋体"/>
        </w:rPr>
      </w:pPr>
      <w:r>
        <w:rPr>
          <w:rFonts w:hint="eastAsia" w:ascii="宋体" w:hAnsi="宋体" w:cs="宋体"/>
        </w:rPr>
        <w:t>（四）投标人递交两份或多份内容不同的投标文件，或在一份投标文件中对同一招标项目报有两个或多个报价，且未声明哪一个有效，按招标文件规定提交备选投标方案的除外；</w:t>
      </w:r>
    </w:p>
    <w:p>
      <w:pPr>
        <w:widowControl/>
        <w:spacing w:after="150" w:line="500" w:lineRule="exact"/>
        <w:ind w:firstLine="480" w:firstLineChars="150"/>
        <w:rPr>
          <w:rFonts w:ascii="宋体" w:hAnsi="宋体" w:cs="宋体"/>
        </w:rPr>
      </w:pPr>
      <w:r>
        <w:rPr>
          <w:rFonts w:hint="eastAsia" w:ascii="宋体" w:hAnsi="宋体" w:cs="宋体"/>
        </w:rPr>
        <w:t>（五）组成联合体投标的，投标文件未附联合体各方共同投标协议的；</w:t>
      </w:r>
    </w:p>
    <w:p>
      <w:pPr>
        <w:widowControl/>
        <w:spacing w:after="150" w:line="500" w:lineRule="exact"/>
        <w:ind w:firstLine="480" w:firstLineChars="150"/>
        <w:rPr>
          <w:rFonts w:ascii="宋体" w:hAnsi="宋体" w:cs="宋体"/>
        </w:rPr>
      </w:pPr>
      <w:r>
        <w:rPr>
          <w:rFonts w:hint="eastAsia" w:ascii="宋体" w:hAnsi="宋体" w:cs="宋体"/>
        </w:rPr>
        <w:t>（六）</w:t>
      </w:r>
      <w:r>
        <w:rPr>
          <w:rFonts w:ascii="宋体" w:hAnsi="宋体" w:cs="宋体"/>
        </w:rPr>
        <w:t>投标报价高于</w:t>
      </w:r>
      <w:r>
        <w:rPr>
          <w:rFonts w:hint="eastAsia" w:ascii="宋体" w:hAnsi="宋体" w:cs="宋体"/>
        </w:rPr>
        <w:t>最高限价</w:t>
      </w:r>
      <w:r>
        <w:rPr>
          <w:rFonts w:ascii="宋体" w:hAnsi="宋体" w:cs="宋体"/>
        </w:rPr>
        <w:t>的</w:t>
      </w:r>
      <w:r>
        <w:rPr>
          <w:rFonts w:hint="eastAsia" w:ascii="宋体" w:hAnsi="宋体" w:cs="宋体"/>
        </w:rPr>
        <w:t>；</w:t>
      </w:r>
    </w:p>
    <w:p>
      <w:pPr>
        <w:widowControl/>
        <w:spacing w:after="150" w:line="500" w:lineRule="exact"/>
        <w:ind w:firstLine="480" w:firstLineChars="150"/>
        <w:rPr>
          <w:rFonts w:ascii="宋体" w:hAnsi="宋体" w:cs="宋体"/>
        </w:rPr>
      </w:pPr>
      <w:r>
        <w:rPr>
          <w:rFonts w:hint="eastAsia" w:ascii="宋体" w:hAnsi="宋体" w:cs="宋体"/>
        </w:rPr>
        <w:t>（七）</w:t>
      </w:r>
      <w:r>
        <w:rPr>
          <w:rFonts w:ascii="宋体" w:hAnsi="宋体" w:cs="宋体"/>
        </w:rPr>
        <w:t>投标</w:t>
      </w:r>
      <w:r>
        <w:rPr>
          <w:rFonts w:hint="eastAsia" w:ascii="宋体" w:hAnsi="宋体" w:cs="宋体"/>
        </w:rPr>
        <w:t>文件不能满足招标文件载明的工程验收标准、勘察服务期、商务报价有关规定要求的；</w:t>
      </w:r>
    </w:p>
    <w:p>
      <w:pPr>
        <w:widowControl/>
        <w:spacing w:after="150" w:line="500" w:lineRule="exact"/>
        <w:ind w:firstLine="480" w:firstLineChars="150"/>
        <w:rPr>
          <w:rFonts w:ascii="宋体" w:hAnsi="宋体" w:cs="宋体"/>
        </w:rPr>
      </w:pPr>
      <w:r>
        <w:rPr>
          <w:rFonts w:ascii="宋体" w:hAnsi="宋体" w:cs="宋体"/>
        </w:rPr>
        <w:t>（</w:t>
      </w:r>
      <w:r>
        <w:rPr>
          <w:rFonts w:hint="eastAsia" w:ascii="宋体" w:hAnsi="宋体" w:cs="宋体"/>
        </w:rPr>
        <w:t>八</w:t>
      </w:r>
      <w:r>
        <w:rPr>
          <w:rFonts w:ascii="宋体" w:hAnsi="宋体" w:cs="宋体"/>
        </w:rPr>
        <w:t>）</w:t>
      </w:r>
      <w:r>
        <w:rPr>
          <w:rFonts w:hint="eastAsia" w:ascii="宋体" w:hAnsi="宋体" w:cs="宋体"/>
        </w:rPr>
        <w:t>投标人提供的纸质投标文件水印码与电子投标文件不一致的；</w:t>
      </w:r>
    </w:p>
    <w:p>
      <w:pPr>
        <w:widowControl/>
        <w:spacing w:after="150" w:line="500" w:lineRule="exact"/>
        <w:ind w:firstLine="480" w:firstLineChars="150"/>
        <w:rPr>
          <w:rFonts w:ascii="宋体" w:hAnsi="宋体" w:cs="宋体"/>
        </w:rPr>
      </w:pPr>
      <w:r>
        <w:rPr>
          <w:rFonts w:ascii="宋体" w:hAnsi="宋体" w:cs="宋体"/>
        </w:rPr>
        <w:t>（</w:t>
      </w:r>
      <w:r>
        <w:rPr>
          <w:rFonts w:hint="eastAsia" w:ascii="宋体" w:hAnsi="宋体" w:cs="宋体"/>
        </w:rPr>
        <w:t>九</w:t>
      </w:r>
      <w:r>
        <w:rPr>
          <w:rFonts w:ascii="宋体" w:hAnsi="宋体" w:cs="宋体"/>
        </w:rPr>
        <w:t>）</w:t>
      </w:r>
      <w:r>
        <w:rPr>
          <w:rFonts w:hint="eastAsia" w:ascii="宋体" w:hAnsi="宋体" w:cs="宋体"/>
        </w:rPr>
        <w:t>法律、法规、规章及规范性文件规定其他应否决投标的情形。</w:t>
      </w:r>
    </w:p>
    <w:p>
      <w:pPr>
        <w:widowControl/>
        <w:spacing w:after="150" w:line="500" w:lineRule="exact"/>
        <w:ind w:firstLine="480" w:firstLineChars="150"/>
        <w:rPr>
          <w:rFonts w:ascii="宋体" w:hAnsi="宋体" w:cs="宋体"/>
        </w:rPr>
      </w:pPr>
    </w:p>
    <w:p>
      <w:pPr>
        <w:widowControl/>
        <w:spacing w:after="150" w:line="500" w:lineRule="exact"/>
        <w:ind w:firstLine="643" w:firstLineChars="200"/>
        <w:rPr>
          <w:rFonts w:ascii="宋体" w:hAnsi="宋体"/>
        </w:rPr>
      </w:pPr>
      <w:r>
        <w:rPr>
          <w:rFonts w:hint="eastAsia" w:ascii="宋体" w:hAnsi="宋体"/>
          <w:b/>
          <w:bCs/>
        </w:rPr>
        <w:t>五、资信标评审</w:t>
      </w:r>
      <w:r>
        <w:rPr>
          <w:rFonts w:hint="eastAsia" w:ascii="宋体" w:hAnsi="宋体"/>
        </w:rPr>
        <w:t>（15分）</w:t>
      </w:r>
    </w:p>
    <w:p>
      <w:pPr>
        <w:widowControl/>
        <w:spacing w:after="150" w:line="500" w:lineRule="exact"/>
        <w:ind w:firstLine="800" w:firstLineChars="250"/>
        <w:rPr>
          <w:rFonts w:ascii="宋体" w:hAnsi="宋体" w:cs="宋体"/>
        </w:rPr>
      </w:pPr>
      <w:r>
        <w:rPr>
          <w:rFonts w:hint="eastAsia" w:ascii="宋体" w:hAnsi="宋体" w:cs="宋体"/>
        </w:rPr>
        <w:t>评标委员会对通过资格审查、技术标审查、符合性评审的投标文件进行资信评审，</w:t>
      </w:r>
      <w:r>
        <w:rPr>
          <w:rFonts w:hint="eastAsia" w:ascii="宋体" w:hAnsi="宋体"/>
        </w:rPr>
        <w:t>评审主要因素包含综合实力、类似工程业绩、信用评价等。</w:t>
      </w:r>
      <w:r>
        <w:rPr>
          <w:rFonts w:hint="eastAsia" w:ascii="宋体" w:hAnsi="宋体" w:cs="宋体"/>
        </w:rPr>
        <w:t>资信评分由评标委员会统一评分，评分时保留两位小数。</w:t>
      </w: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5312"/>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widowControl/>
              <w:spacing w:line="500" w:lineRule="exact"/>
              <w:jc w:val="center"/>
              <w:rPr>
                <w:rFonts w:ascii="宋体" w:hAnsi="宋体"/>
                <w:b/>
                <w:spacing w:val="-12"/>
              </w:rPr>
            </w:pPr>
            <w:r>
              <w:rPr>
                <w:rFonts w:hint="eastAsia" w:ascii="宋体" w:hAnsi="宋体"/>
                <w:b/>
                <w:spacing w:val="-12"/>
              </w:rPr>
              <w:t>评审因素</w:t>
            </w:r>
          </w:p>
        </w:tc>
        <w:tc>
          <w:tcPr>
            <w:tcW w:w="5312" w:type="dxa"/>
            <w:vAlign w:val="center"/>
          </w:tcPr>
          <w:p>
            <w:pPr>
              <w:widowControl/>
              <w:spacing w:line="500" w:lineRule="exact"/>
              <w:jc w:val="center"/>
              <w:rPr>
                <w:rFonts w:ascii="宋体" w:hAnsi="宋体"/>
                <w:b/>
                <w:spacing w:val="-12"/>
              </w:rPr>
            </w:pPr>
            <w:r>
              <w:rPr>
                <w:rFonts w:hint="eastAsia" w:ascii="宋体" w:hAnsi="宋体"/>
                <w:b/>
                <w:spacing w:val="-12"/>
              </w:rPr>
              <w:t>评审内容</w:t>
            </w:r>
          </w:p>
        </w:tc>
        <w:tc>
          <w:tcPr>
            <w:tcW w:w="1487" w:type="dxa"/>
          </w:tcPr>
          <w:p>
            <w:pPr>
              <w:widowControl/>
              <w:spacing w:line="500" w:lineRule="exact"/>
              <w:jc w:val="center"/>
              <w:rPr>
                <w:rFonts w:ascii="宋体" w:hAnsi="宋体"/>
                <w:b/>
                <w:spacing w:val="-12"/>
              </w:rPr>
            </w:pPr>
            <w:r>
              <w:rPr>
                <w:rFonts w:hint="eastAsia" w:ascii="宋体" w:hAnsi="宋体"/>
                <w:b/>
                <w:spacing w:val="-12"/>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985" w:type="dxa"/>
            <w:vAlign w:val="center"/>
          </w:tcPr>
          <w:p>
            <w:pPr>
              <w:widowControl/>
              <w:spacing w:line="500" w:lineRule="exact"/>
              <w:jc w:val="center"/>
              <w:rPr>
                <w:rFonts w:ascii="宋体" w:hAnsi="宋体"/>
                <w:spacing w:val="-12"/>
              </w:rPr>
            </w:pPr>
            <w:r>
              <w:rPr>
                <w:rFonts w:hint="eastAsia" w:ascii="宋体" w:hAnsi="宋体"/>
                <w:spacing w:val="-12"/>
              </w:rPr>
              <w:t>综合实力</w:t>
            </w:r>
          </w:p>
        </w:tc>
        <w:tc>
          <w:tcPr>
            <w:tcW w:w="5312" w:type="dxa"/>
            <w:vAlign w:val="center"/>
          </w:tcPr>
          <w:p>
            <w:pPr>
              <w:spacing w:line="500" w:lineRule="exact"/>
              <w:rPr>
                <w:rFonts w:ascii="宋体" w:hAnsi="宋体"/>
                <w:spacing w:val="-12"/>
              </w:rPr>
            </w:pPr>
            <w:r>
              <w:rPr>
                <w:rFonts w:hint="eastAsia" w:ascii="宋体" w:hAnsi="宋体"/>
              </w:rPr>
              <w:t>财务状况（包括营业收入、资产负债情况等）、</w:t>
            </w:r>
            <w:r>
              <w:rPr>
                <w:rFonts w:hint="eastAsia" w:ascii="宋体" w:hAnsi="宋体"/>
                <w:spacing w:val="-12"/>
              </w:rPr>
              <w:t>工商信用等级、计量认证、体系认证等</w:t>
            </w:r>
          </w:p>
        </w:tc>
        <w:tc>
          <w:tcPr>
            <w:tcW w:w="1487" w:type="dxa"/>
            <w:vAlign w:val="center"/>
          </w:tcPr>
          <w:p>
            <w:pPr>
              <w:spacing w:line="500" w:lineRule="exact"/>
              <w:jc w:val="center"/>
              <w:rPr>
                <w:rFonts w:ascii="宋体" w:hAnsi="宋体"/>
              </w:rPr>
            </w:pPr>
            <w:r>
              <w:rPr>
                <w:rFonts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85" w:type="dxa"/>
            <w:vMerge w:val="restart"/>
            <w:vAlign w:val="center"/>
          </w:tcPr>
          <w:p>
            <w:pPr>
              <w:widowControl/>
              <w:spacing w:line="500" w:lineRule="exact"/>
              <w:jc w:val="center"/>
              <w:rPr>
                <w:rFonts w:ascii="宋体" w:hAnsi="宋体"/>
                <w:spacing w:val="-12"/>
              </w:rPr>
            </w:pPr>
            <w:r>
              <w:rPr>
                <w:rFonts w:hint="eastAsia" w:ascii="宋体" w:hAnsi="宋体"/>
                <w:spacing w:val="-12"/>
              </w:rPr>
              <w:t>类似工程业绩</w:t>
            </w:r>
          </w:p>
        </w:tc>
        <w:tc>
          <w:tcPr>
            <w:tcW w:w="5312" w:type="dxa"/>
            <w:vAlign w:val="center"/>
          </w:tcPr>
          <w:p>
            <w:pPr>
              <w:widowControl/>
              <w:spacing w:line="500" w:lineRule="exact"/>
              <w:rPr>
                <w:rFonts w:ascii="宋体" w:hAnsi="宋体"/>
                <w:spacing w:val="-12"/>
              </w:rPr>
            </w:pPr>
            <w:r>
              <w:rPr>
                <w:rFonts w:hint="eastAsia" w:ascii="宋体" w:hAnsi="宋体"/>
                <w:spacing w:val="-12"/>
              </w:rPr>
              <w:t>企业业绩</w:t>
            </w:r>
          </w:p>
        </w:tc>
        <w:tc>
          <w:tcPr>
            <w:tcW w:w="1487" w:type="dxa"/>
            <w:vAlign w:val="center"/>
          </w:tcPr>
          <w:p>
            <w:pPr>
              <w:widowControl/>
              <w:spacing w:line="500" w:lineRule="exact"/>
              <w:jc w:val="center"/>
              <w:rPr>
                <w:rFonts w:ascii="宋体" w:hAnsi="宋体"/>
                <w:spacing w:val="-12"/>
              </w:rPr>
            </w:pPr>
            <w:r>
              <w:rPr>
                <w:rFonts w:hint="eastAsia" w:ascii="宋体" w:hAnsi="宋体"/>
                <w:spacing w:val="-1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985" w:type="dxa"/>
            <w:vMerge w:val="continue"/>
            <w:vAlign w:val="center"/>
          </w:tcPr>
          <w:p>
            <w:pPr>
              <w:widowControl/>
              <w:spacing w:line="500" w:lineRule="exact"/>
              <w:jc w:val="center"/>
              <w:rPr>
                <w:rFonts w:ascii="宋体" w:hAnsi="宋体"/>
                <w:spacing w:val="-12"/>
              </w:rPr>
            </w:pPr>
          </w:p>
        </w:tc>
        <w:tc>
          <w:tcPr>
            <w:tcW w:w="5312" w:type="dxa"/>
            <w:vAlign w:val="center"/>
          </w:tcPr>
          <w:p>
            <w:pPr>
              <w:widowControl/>
              <w:spacing w:line="500" w:lineRule="exact"/>
              <w:rPr>
                <w:rFonts w:ascii="宋体" w:hAnsi="宋体"/>
                <w:spacing w:val="-12"/>
              </w:rPr>
            </w:pPr>
            <w:r>
              <w:rPr>
                <w:rFonts w:hint="eastAsia" w:ascii="宋体" w:hAnsi="宋体"/>
                <w:spacing w:val="-12"/>
              </w:rPr>
              <w:t>人员业绩</w:t>
            </w:r>
          </w:p>
        </w:tc>
        <w:tc>
          <w:tcPr>
            <w:tcW w:w="1487" w:type="dxa"/>
            <w:vAlign w:val="center"/>
          </w:tcPr>
          <w:p>
            <w:pPr>
              <w:widowControl/>
              <w:spacing w:line="500" w:lineRule="exact"/>
              <w:jc w:val="center"/>
              <w:rPr>
                <w:rFonts w:ascii="宋体" w:hAnsi="宋体"/>
                <w:spacing w:val="-12"/>
              </w:rPr>
            </w:pPr>
            <w:r>
              <w:rPr>
                <w:rFonts w:hint="eastAsia" w:ascii="宋体" w:hAnsi="宋体"/>
                <w:spacing w:val="-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widowControl/>
              <w:spacing w:line="500" w:lineRule="exact"/>
              <w:jc w:val="center"/>
              <w:rPr>
                <w:rFonts w:ascii="宋体" w:hAnsi="宋体"/>
                <w:spacing w:val="-12"/>
              </w:rPr>
            </w:pPr>
            <w:r>
              <w:rPr>
                <w:rFonts w:hint="eastAsia" w:ascii="宋体" w:hAnsi="宋体"/>
                <w:spacing w:val="-12"/>
              </w:rPr>
              <w:t>信用评价</w:t>
            </w:r>
          </w:p>
        </w:tc>
        <w:tc>
          <w:tcPr>
            <w:tcW w:w="5312" w:type="dxa"/>
            <w:vAlign w:val="center"/>
          </w:tcPr>
          <w:p>
            <w:pPr>
              <w:widowControl/>
              <w:spacing w:line="500" w:lineRule="exact"/>
              <w:rPr>
                <w:rFonts w:ascii="宋体" w:hAnsi="宋体"/>
                <w:spacing w:val="-12"/>
              </w:rPr>
            </w:pPr>
            <w:r>
              <w:rPr>
                <w:rFonts w:hint="eastAsia" w:ascii="宋体" w:hAnsi="宋体"/>
              </w:rPr>
              <w:t>建设行政</w:t>
            </w:r>
            <w:r>
              <w:rPr>
                <w:rFonts w:hint="eastAsia" w:ascii="宋体" w:hAnsi="宋体"/>
                <w:spacing w:val="-12"/>
              </w:rPr>
              <w:t>主管部门信用评价</w:t>
            </w:r>
          </w:p>
        </w:tc>
        <w:tc>
          <w:tcPr>
            <w:tcW w:w="1487" w:type="dxa"/>
            <w:vAlign w:val="center"/>
          </w:tcPr>
          <w:p>
            <w:pPr>
              <w:widowControl/>
              <w:spacing w:line="500" w:lineRule="exact"/>
              <w:jc w:val="center"/>
              <w:rPr>
                <w:rFonts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tcBorders>
              <w:bottom w:val="single" w:color="auto" w:sz="4" w:space="0"/>
            </w:tcBorders>
            <w:vAlign w:val="center"/>
          </w:tcPr>
          <w:p>
            <w:pPr>
              <w:widowControl/>
              <w:spacing w:line="500" w:lineRule="exact"/>
              <w:jc w:val="center"/>
              <w:rPr>
                <w:rFonts w:ascii="宋体" w:hAnsi="宋体"/>
                <w:spacing w:val="-12"/>
              </w:rPr>
            </w:pPr>
            <w:r>
              <w:rPr>
                <w:rFonts w:hint="eastAsia" w:ascii="宋体" w:hAnsi="宋体"/>
                <w:spacing w:val="-12"/>
              </w:rPr>
              <w:t>团队配备</w:t>
            </w:r>
          </w:p>
        </w:tc>
        <w:tc>
          <w:tcPr>
            <w:tcW w:w="5312" w:type="dxa"/>
            <w:vAlign w:val="center"/>
          </w:tcPr>
          <w:p>
            <w:pPr>
              <w:widowControl/>
              <w:spacing w:line="500" w:lineRule="exact"/>
              <w:rPr>
                <w:rFonts w:ascii="宋体" w:hAnsi="宋体"/>
              </w:rPr>
            </w:pPr>
            <w:r>
              <w:rPr>
                <w:rFonts w:hint="eastAsia" w:ascii="宋体" w:hAnsi="宋体"/>
                <w:spacing w:val="-12"/>
              </w:rPr>
              <w:t>团队专业能力配备情况，项目负责人及</w:t>
            </w:r>
            <w:r>
              <w:rPr>
                <w:rFonts w:ascii="宋体" w:hAnsi="宋体"/>
                <w:spacing w:val="-12"/>
              </w:rPr>
              <w:t>各专业负责人</w:t>
            </w:r>
            <w:r>
              <w:rPr>
                <w:rFonts w:hint="eastAsia" w:ascii="宋体" w:hAnsi="宋体"/>
                <w:spacing w:val="-12"/>
              </w:rPr>
              <w:t>执业资格、从业年限、职称</w:t>
            </w:r>
          </w:p>
        </w:tc>
        <w:tc>
          <w:tcPr>
            <w:tcW w:w="1487" w:type="dxa"/>
            <w:vAlign w:val="center"/>
          </w:tcPr>
          <w:p>
            <w:pPr>
              <w:widowControl/>
              <w:spacing w:line="500" w:lineRule="exact"/>
              <w:jc w:val="center"/>
              <w:rPr>
                <w:rFonts w:ascii="宋体" w:hAnsi="宋体"/>
                <w:spacing w:val="-12"/>
              </w:rPr>
            </w:pPr>
            <w:r>
              <w:rPr>
                <w:rFonts w:hint="eastAsia" w:ascii="宋体" w:hAnsi="宋体"/>
                <w:spacing w:val="-12"/>
              </w:rPr>
              <w:t>3</w:t>
            </w:r>
          </w:p>
        </w:tc>
      </w:tr>
    </w:tbl>
    <w:p>
      <w:pPr>
        <w:widowControl/>
        <w:spacing w:line="500" w:lineRule="exact"/>
        <w:ind w:firstLine="640" w:firstLineChars="200"/>
        <w:rPr>
          <w:rFonts w:ascii="宋体" w:hAnsi="宋体" w:cs="宋体"/>
        </w:rPr>
      </w:pPr>
      <w:r>
        <w:rPr>
          <w:rFonts w:hint="eastAsia" w:ascii="宋体" w:hAnsi="宋体" w:cs="宋体"/>
        </w:rPr>
        <w:t>信用评价根据杭州信用监管平台记录的开标前第三个月（不含本月）往前累计十二个月度的企业信用合计分值（如</w:t>
      </w:r>
      <w:r>
        <w:rPr>
          <w:rFonts w:ascii="宋体" w:hAnsi="宋体" w:cs="宋体"/>
        </w:rPr>
        <w:t>201</w:t>
      </w:r>
      <w:r>
        <w:rPr>
          <w:rFonts w:hint="eastAsia" w:ascii="宋体" w:hAnsi="宋体" w:cs="宋体"/>
        </w:rPr>
        <w:t>9年</w:t>
      </w:r>
      <w:r>
        <w:rPr>
          <w:rFonts w:ascii="宋体" w:hAnsi="宋体" w:cs="宋体"/>
        </w:rPr>
        <w:t>12</w:t>
      </w:r>
      <w:r>
        <w:rPr>
          <w:rFonts w:hint="eastAsia" w:ascii="宋体" w:hAnsi="宋体" w:cs="宋体"/>
        </w:rPr>
        <w:t>月7日开标，按</w:t>
      </w:r>
      <w:r>
        <w:rPr>
          <w:rFonts w:ascii="宋体" w:hAnsi="宋体" w:cs="宋体"/>
        </w:rPr>
        <w:t>201</w:t>
      </w:r>
      <w:r>
        <w:rPr>
          <w:rFonts w:hint="eastAsia" w:ascii="宋体" w:hAnsi="宋体" w:cs="宋体"/>
        </w:rPr>
        <w:t>9年9月份～</w:t>
      </w:r>
      <w:r>
        <w:rPr>
          <w:rFonts w:ascii="宋体" w:hAnsi="宋体" w:cs="宋体"/>
        </w:rPr>
        <w:t>20</w:t>
      </w:r>
      <w:r>
        <w:rPr>
          <w:rFonts w:hint="eastAsia" w:ascii="宋体" w:hAnsi="宋体" w:cs="宋体"/>
        </w:rPr>
        <w:t>18年10月份累计）进行排序，无信用记分记录的</w:t>
      </w:r>
      <w:r>
        <w:rPr>
          <w:rFonts w:hint="eastAsia" w:ascii="宋体" w:hAnsi="宋体"/>
          <w:lang w:val="zh-CN"/>
        </w:rPr>
        <w:t>信用分</w:t>
      </w:r>
      <w:r>
        <w:rPr>
          <w:rFonts w:hint="eastAsia" w:ascii="宋体" w:hAnsi="宋体" w:cs="宋体"/>
        </w:rPr>
        <w:t>按</w:t>
      </w:r>
      <w:r>
        <w:rPr>
          <w:rFonts w:ascii="宋体" w:hAnsi="宋体" w:cs="宋体"/>
        </w:rPr>
        <w:t>0</w:t>
      </w:r>
      <w:r>
        <w:rPr>
          <w:rFonts w:hint="eastAsia" w:ascii="宋体" w:hAnsi="宋体" w:cs="宋体"/>
        </w:rPr>
        <w:t>分记。</w:t>
      </w:r>
    </w:p>
    <w:p>
      <w:pPr>
        <w:widowControl/>
        <w:spacing w:line="500" w:lineRule="exact"/>
        <w:ind w:firstLine="480"/>
        <w:rPr>
          <w:rFonts w:ascii="宋体" w:hAnsi="宋体"/>
          <w:lang w:val="zh-CN"/>
        </w:rPr>
      </w:pPr>
      <w:r>
        <w:rPr>
          <w:rFonts w:hint="eastAsia" w:ascii="宋体" w:hAnsi="宋体"/>
          <w:lang w:val="zh-CN"/>
        </w:rPr>
        <w:t>企业信用评价分从高到低排序，排名第一的得3分，排名第二的得2.8分，排名第三的得2.6分，依次递减至0分，最少得0分（</w:t>
      </w:r>
      <w:r>
        <w:rPr>
          <w:rFonts w:hint="eastAsia" w:ascii="宋体" w:hAnsi="宋体" w:cs="宋体"/>
        </w:rPr>
        <w:t>根据市场实际情况动态调整；</w:t>
      </w:r>
      <w:r>
        <w:rPr>
          <w:rFonts w:hint="eastAsia" w:ascii="宋体" w:hAnsi="宋体"/>
          <w:lang w:val="zh-CN"/>
        </w:rPr>
        <w:t>排名相同的得分相同，如排名第一有</w:t>
      </w:r>
      <w:r>
        <w:rPr>
          <w:rFonts w:ascii="宋体" w:hAnsi="宋体"/>
          <w:lang w:val="zh-CN"/>
        </w:rPr>
        <w:t>3</w:t>
      </w:r>
      <w:r>
        <w:rPr>
          <w:rFonts w:hint="eastAsia" w:ascii="宋体" w:hAnsi="宋体"/>
          <w:lang w:val="zh-CN"/>
        </w:rPr>
        <w:t>家并列，则均得3分，之后的列为排名第二，得2.8分；依次类推）。</w:t>
      </w:r>
    </w:p>
    <w:p>
      <w:pPr>
        <w:widowControl/>
        <w:spacing w:after="150" w:line="500" w:lineRule="exact"/>
        <w:ind w:firstLine="640" w:firstLineChars="200"/>
        <w:rPr>
          <w:rFonts w:ascii="宋体" w:hAnsi="宋体"/>
          <w:b/>
          <w:bCs/>
        </w:rPr>
      </w:pPr>
      <w:r>
        <w:rPr>
          <w:rFonts w:hint="eastAsia" w:ascii="宋体" w:hAnsi="宋体" w:cs="宋体"/>
        </w:rPr>
        <w:t>六</w:t>
      </w:r>
      <w:r>
        <w:rPr>
          <w:rFonts w:hint="eastAsia" w:ascii="宋体" w:hAnsi="宋体"/>
          <w:b/>
          <w:bCs/>
        </w:rPr>
        <w:t>、商务标评审</w:t>
      </w:r>
      <w:r>
        <w:rPr>
          <w:rFonts w:hint="eastAsia" w:ascii="宋体" w:hAnsi="宋体"/>
          <w:b/>
        </w:rPr>
        <w:t>（25分）</w:t>
      </w:r>
    </w:p>
    <w:p>
      <w:pPr>
        <w:widowControl/>
        <w:spacing w:line="500" w:lineRule="exact"/>
        <w:ind w:firstLine="640" w:firstLineChars="200"/>
        <w:rPr>
          <w:rFonts w:ascii="宋体" w:hAnsi="宋体" w:cs="宋体"/>
        </w:rPr>
      </w:pPr>
      <w:bookmarkStart w:id="0" w:name="_Hlk35529273"/>
      <w:r>
        <w:rPr>
          <w:rFonts w:hint="eastAsia" w:ascii="宋体" w:hAnsi="宋体" w:cs="宋体"/>
        </w:rPr>
        <w:t xml:space="preserve"> 以</w:t>
      </w:r>
      <w:bookmarkEnd w:id="0"/>
      <w:r>
        <w:rPr>
          <w:rFonts w:hint="eastAsia" w:ascii="宋体" w:hAnsi="宋体" w:cs="宋体"/>
        </w:rPr>
        <w:t>通过符合性评审且技术</w:t>
      </w:r>
      <w:r>
        <w:rPr>
          <w:rFonts w:ascii="宋体" w:hAnsi="宋体" w:cs="宋体"/>
        </w:rPr>
        <w:t>+</w:t>
      </w:r>
      <w:r>
        <w:rPr>
          <w:rFonts w:hint="eastAsia" w:ascii="宋体" w:hAnsi="宋体" w:cs="宋体"/>
        </w:rPr>
        <w:t>资信合计总分前</w:t>
      </w:r>
      <w:r>
        <w:rPr>
          <w:rFonts w:ascii="宋体" w:hAnsi="宋体" w:cs="宋体"/>
        </w:rPr>
        <w:t>N</w:t>
      </w:r>
      <w:r>
        <w:rPr>
          <w:rFonts w:hint="eastAsia" w:ascii="宋体" w:hAnsi="宋体" w:cs="宋体"/>
        </w:rPr>
        <w:t>名的有效投标报价的最低价为最佳报价。（</w:t>
      </w:r>
      <w:r>
        <w:rPr>
          <w:rFonts w:ascii="宋体" w:hAnsi="宋体" w:cs="宋体"/>
        </w:rPr>
        <w:t>N</w:t>
      </w:r>
      <w:r>
        <w:rPr>
          <w:rFonts w:hint="eastAsia" w:ascii="宋体" w:hAnsi="宋体" w:cs="宋体"/>
        </w:rPr>
        <w:t>≧</w:t>
      </w:r>
      <w:r>
        <w:rPr>
          <w:rFonts w:ascii="宋体" w:hAnsi="宋体" w:cs="宋体"/>
        </w:rPr>
        <w:t>3</w:t>
      </w:r>
      <w:r>
        <w:rPr>
          <w:rFonts w:hint="eastAsia" w:ascii="宋体" w:hAnsi="宋体" w:cs="宋体"/>
        </w:rPr>
        <w:t>名，具体数值由招标人在招标文件中明确</w:t>
      </w:r>
      <w:r>
        <w:rPr>
          <w:rFonts w:hint="eastAsia" w:ascii="仿宋" w:hAnsi="仿宋" w:eastAsia="仿宋"/>
          <w:bCs/>
          <w:szCs w:val="32"/>
        </w:rPr>
        <w:t>；第N名并列的均进。</w:t>
      </w:r>
      <w:r>
        <w:rPr>
          <w:rFonts w:hint="eastAsia" w:ascii="宋体" w:hAnsi="宋体" w:cs="宋体"/>
        </w:rPr>
        <w:t>）</w:t>
      </w:r>
    </w:p>
    <w:p>
      <w:pPr>
        <w:widowControl/>
        <w:spacing w:line="500" w:lineRule="exact"/>
        <w:ind w:firstLine="640" w:firstLineChars="200"/>
        <w:rPr>
          <w:rFonts w:ascii="宋体" w:hAnsi="宋体" w:cs="宋体"/>
        </w:rPr>
      </w:pPr>
      <w:r>
        <w:rPr>
          <w:rFonts w:hint="eastAsia" w:ascii="宋体" w:hAnsi="宋体" w:cs="宋体"/>
        </w:rPr>
        <w:t>投标报价等于最佳报价时，商务得分为满分；投标报价每偏离最佳报价</w:t>
      </w:r>
      <w:r>
        <w:rPr>
          <w:rFonts w:ascii="宋体" w:hAnsi="宋体" w:cs="宋体"/>
        </w:rPr>
        <w:t>1%</w:t>
      </w:r>
      <w:r>
        <w:rPr>
          <w:rFonts w:hint="eastAsia" w:ascii="宋体" w:hAnsi="宋体" w:cs="宋体"/>
        </w:rPr>
        <w:t>的扣</w:t>
      </w:r>
      <w:r>
        <w:rPr>
          <w:rFonts w:ascii="宋体" w:hAnsi="宋体" w:cs="宋体"/>
        </w:rPr>
        <w:t>0.</w:t>
      </w:r>
      <w:r>
        <w:rPr>
          <w:rFonts w:hint="eastAsia" w:ascii="宋体" w:hAnsi="宋体" w:cs="宋体"/>
        </w:rPr>
        <w:t xml:space="preserve">5～1分。投标报价每高于或低于最佳报价不足一个百分点时，使用直线插入法计算，计算结果保留两位小数。 </w:t>
      </w:r>
    </w:p>
    <w:p>
      <w:pPr>
        <w:widowControl/>
        <w:spacing w:after="150" w:line="500" w:lineRule="exact"/>
        <w:ind w:firstLine="643" w:firstLineChars="200"/>
        <w:rPr>
          <w:rFonts w:ascii="仿宋" w:hAnsi="仿宋" w:eastAsia="仿宋"/>
          <w:b/>
          <w:szCs w:val="32"/>
        </w:rPr>
      </w:pPr>
    </w:p>
    <w:p>
      <w:pPr>
        <w:widowControl/>
        <w:spacing w:after="150" w:line="500" w:lineRule="exact"/>
        <w:ind w:firstLine="643" w:firstLineChars="200"/>
        <w:rPr>
          <w:rFonts w:ascii="宋体" w:hAnsi="宋体"/>
          <w:b/>
          <w:bCs/>
        </w:rPr>
      </w:pPr>
      <w:r>
        <w:rPr>
          <w:rFonts w:ascii="仿宋" w:hAnsi="仿宋" w:eastAsia="仿宋"/>
          <w:b/>
          <w:szCs w:val="32"/>
        </w:rPr>
        <w:t>七、推荐中标候选人</w:t>
      </w:r>
    </w:p>
    <w:p>
      <w:pPr>
        <w:widowControl/>
        <w:spacing w:after="150" w:line="500" w:lineRule="exact"/>
        <w:ind w:firstLine="640" w:firstLineChars="200"/>
        <w:rPr>
          <w:rFonts w:ascii="宋体" w:hAnsi="宋体" w:cs="宋体"/>
        </w:rPr>
      </w:pPr>
      <w:r>
        <w:rPr>
          <w:rFonts w:ascii="仿宋" w:hAnsi="仿宋" w:eastAsia="仿宋"/>
          <w:bCs/>
          <w:szCs w:val="32"/>
        </w:rPr>
        <w:t>评标委员会对</w:t>
      </w:r>
      <w:r>
        <w:rPr>
          <w:rFonts w:hint="eastAsia" w:ascii="仿宋" w:hAnsi="仿宋" w:eastAsia="仿宋"/>
          <w:bCs/>
          <w:szCs w:val="32"/>
        </w:rPr>
        <w:t>有效</w:t>
      </w:r>
      <w:r>
        <w:rPr>
          <w:rFonts w:ascii="仿宋" w:hAnsi="仿宋" w:eastAsia="仿宋"/>
          <w:bCs/>
          <w:szCs w:val="32"/>
        </w:rPr>
        <w:t>投标人按总分从高到低进行排序，根据排序</w:t>
      </w:r>
      <w:r>
        <w:rPr>
          <w:rFonts w:hint="eastAsia" w:ascii="仿宋" w:hAnsi="仿宋" w:eastAsia="仿宋"/>
          <w:bCs/>
          <w:szCs w:val="32"/>
        </w:rPr>
        <w:t>及招标文件的要</w:t>
      </w:r>
      <w:r>
        <w:rPr>
          <w:rFonts w:hint="eastAsia" w:ascii="仿宋" w:hAnsi="仿宋" w:eastAsia="仿宋"/>
          <w:bCs/>
          <w:color w:val="000000"/>
          <w:szCs w:val="32"/>
        </w:rPr>
        <w:t>求</w:t>
      </w:r>
      <w:r>
        <w:rPr>
          <w:rFonts w:ascii="仿宋" w:hAnsi="仿宋" w:eastAsia="仿宋"/>
          <w:bCs/>
          <w:color w:val="000000"/>
          <w:szCs w:val="32"/>
        </w:rPr>
        <w:t>推荐</w:t>
      </w:r>
      <w:r>
        <w:rPr>
          <w:rFonts w:hint="eastAsia" w:ascii="仿宋" w:hAnsi="仿宋" w:eastAsia="仿宋"/>
          <w:bCs/>
          <w:color w:val="000000"/>
          <w:szCs w:val="32"/>
        </w:rPr>
        <w:t>1~3名</w:t>
      </w:r>
      <w:r>
        <w:rPr>
          <w:rFonts w:ascii="仿宋" w:hAnsi="仿宋" w:eastAsia="仿宋"/>
          <w:bCs/>
          <w:color w:val="000000"/>
          <w:szCs w:val="32"/>
        </w:rPr>
        <w:t>中</w:t>
      </w:r>
      <w:r>
        <w:rPr>
          <w:rFonts w:ascii="仿宋" w:hAnsi="仿宋" w:eastAsia="仿宋"/>
          <w:bCs/>
          <w:szCs w:val="32"/>
        </w:rPr>
        <w:t>标候选人。</w:t>
      </w:r>
      <w:r>
        <w:rPr>
          <w:rFonts w:ascii="宋体" w:hAnsi="宋体" w:cs="宋体"/>
        </w:rPr>
        <w:t>如投标人总分相同的，以投标报价低的排前；如投标人的投标报价仍相同的，以技术分排名靠前的排前；如投标人的技术分仍相同的，以信用评价靠前的排前；上述均相同的，由评标委员会抽签确定。</w:t>
      </w:r>
      <w:r>
        <w:rPr>
          <w:rFonts w:hint="eastAsia" w:ascii="宋体" w:hAnsi="宋体" w:cs="宋体"/>
        </w:rPr>
        <w:t xml:space="preserve"> </w:t>
      </w:r>
    </w:p>
    <w:p>
      <w:pPr>
        <w:spacing w:line="500" w:lineRule="exact"/>
        <w:ind w:firstLine="640" w:firstLineChars="200"/>
        <w:rPr>
          <w:rFonts w:ascii="宋体" w:hAnsi="宋体" w:cs="宋体"/>
        </w:rPr>
      </w:pPr>
      <w:r>
        <w:rPr>
          <w:rFonts w:hint="eastAsia" w:ascii="宋体" w:hAnsi="宋体" w:cs="宋体"/>
        </w:rPr>
        <w:t>当有效投标人＜3个的，评标委员会应判定本次投标是否具有竞争力，若评标委员会认为本次投标明显缺乏竞争的，可以否决全部投标；如判定仍具有竞争力，以最低报价的投标人为第一中标候选人。</w:t>
      </w:r>
    </w:p>
    <w:p>
      <w:pPr>
        <w:spacing w:line="500" w:lineRule="exact"/>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C0059"/>
    <w:rsid w:val="1FAC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hint="eastAsia" w:ascii="宋体" w:hAnsi="宋体" w:eastAsia="宋体"/>
      <w:kern w:val="0"/>
      <w:sz w:val="24"/>
    </w:rPr>
  </w:style>
  <w:style w:type="paragraph" w:customStyle="1" w:styleId="5">
    <w:name w:val="样式 正文文本"/>
    <w:basedOn w:val="1"/>
    <w:qFormat/>
    <w:uiPriority w:val="0"/>
    <w:pPr>
      <w:adjustRightInd w:val="0"/>
      <w:snapToGrid w:val="0"/>
      <w:spacing w:line="400" w:lineRule="exact"/>
    </w:pPr>
    <w:rPr>
      <w:rFonts w:ascii="Arial" w:hAnsi="Arial" w:eastAsia="宋体"/>
      <w:color w:val="000000"/>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2020-09-29T06:28:00Z</dcterms:created>
  <dc:creator>董梦佳</dc:creator>
  <cp:lastModifiedBy>董梦佳</cp:lastModifiedBy>
  <dcterms:modified xsi:type="dcterms:W3CDTF">2020-09-29T06:28:34Z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