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72" w:rsidRDefault="00BE1972">
      <w:pPr>
        <w:pStyle w:val="TOC1"/>
      </w:pPr>
    </w:p>
    <w:p w:rsidR="00BE1972" w:rsidRDefault="00BE1972">
      <w:pPr>
        <w:jc w:val="center"/>
        <w:rPr>
          <w:rFonts w:ascii="仿宋_GB2312" w:eastAsia="仿宋_GB2312"/>
          <w:b/>
          <w:sz w:val="32"/>
          <w:szCs w:val="32"/>
        </w:rPr>
      </w:pPr>
    </w:p>
    <w:p w:rsidR="00BE1972" w:rsidRDefault="00BE1972">
      <w:pPr>
        <w:jc w:val="center"/>
        <w:rPr>
          <w:rFonts w:ascii="仿宋_GB2312" w:eastAsia="仿宋_GB2312"/>
          <w:b/>
          <w:sz w:val="32"/>
          <w:szCs w:val="32"/>
        </w:rPr>
      </w:pPr>
    </w:p>
    <w:p w:rsidR="00BE1972" w:rsidRDefault="00CF449E">
      <w:pPr>
        <w:jc w:val="center"/>
        <w:rPr>
          <w:rFonts w:ascii="仿宋_GB2312" w:eastAsia="仿宋_GB2312"/>
          <w:b/>
          <w:sz w:val="48"/>
          <w:szCs w:val="48"/>
        </w:rPr>
      </w:pPr>
      <w:bookmarkStart w:id="0" w:name="_GoBack"/>
      <w:proofErr w:type="gramStart"/>
      <w:r>
        <w:rPr>
          <w:rFonts w:ascii="仿宋_GB2312" w:eastAsia="仿宋_GB2312" w:hint="eastAsia"/>
          <w:b/>
          <w:sz w:val="48"/>
          <w:szCs w:val="48"/>
        </w:rPr>
        <w:t>《</w:t>
      </w:r>
      <w:proofErr w:type="gramEnd"/>
      <w:r>
        <w:rPr>
          <w:rFonts w:ascii="仿宋_GB2312" w:eastAsia="仿宋_GB2312" w:hint="eastAsia"/>
          <w:b/>
          <w:sz w:val="48"/>
          <w:szCs w:val="48"/>
        </w:rPr>
        <w:t>杭州市公共建筑能效提升重点</w:t>
      </w:r>
    </w:p>
    <w:p w:rsidR="00BE1972" w:rsidRDefault="00CF449E">
      <w:pPr>
        <w:jc w:val="center"/>
        <w:rPr>
          <w:rFonts w:ascii="仿宋_GB2312" w:eastAsia="仿宋_GB2312"/>
          <w:b/>
          <w:sz w:val="44"/>
          <w:szCs w:val="44"/>
        </w:rPr>
      </w:pPr>
      <w:r>
        <w:rPr>
          <w:rFonts w:ascii="仿宋_GB2312" w:eastAsia="仿宋_GB2312" w:hint="eastAsia"/>
          <w:b/>
          <w:sz w:val="48"/>
          <w:szCs w:val="48"/>
        </w:rPr>
        <w:t>城市建设实施方案》</w:t>
      </w:r>
    </w:p>
    <w:bookmarkEnd w:id="0"/>
    <w:p w:rsidR="00BE1972" w:rsidRDefault="00BE1972">
      <w:pPr>
        <w:jc w:val="center"/>
        <w:rPr>
          <w:rFonts w:ascii="仿宋_GB2312" w:eastAsia="仿宋_GB2312"/>
          <w:b/>
          <w:sz w:val="44"/>
          <w:szCs w:val="44"/>
        </w:rPr>
      </w:pPr>
    </w:p>
    <w:p w:rsidR="00BE1972" w:rsidRDefault="00BE1972">
      <w:pPr>
        <w:jc w:val="center"/>
        <w:rPr>
          <w:rFonts w:ascii="仿宋_GB2312" w:eastAsia="仿宋_GB2312"/>
          <w:b/>
          <w:sz w:val="44"/>
          <w:szCs w:val="44"/>
        </w:rPr>
      </w:pPr>
    </w:p>
    <w:p w:rsidR="00BE1972" w:rsidRDefault="00BE1972">
      <w:pPr>
        <w:jc w:val="center"/>
        <w:rPr>
          <w:rFonts w:ascii="仿宋_GB2312" w:eastAsia="仿宋_GB2312"/>
          <w:b/>
          <w:sz w:val="44"/>
          <w:szCs w:val="44"/>
        </w:rPr>
      </w:pPr>
    </w:p>
    <w:p w:rsidR="00BE1972" w:rsidRDefault="00CF449E">
      <w:pPr>
        <w:jc w:val="center"/>
        <w:rPr>
          <w:rFonts w:ascii="仿宋_GB2312" w:eastAsia="仿宋_GB2312"/>
          <w:b/>
          <w:sz w:val="44"/>
          <w:szCs w:val="44"/>
        </w:rPr>
      </w:pPr>
      <w:r>
        <w:rPr>
          <w:rFonts w:ascii="仿宋_GB2312" w:eastAsia="仿宋_GB2312" w:hint="eastAsia"/>
          <w:b/>
          <w:sz w:val="44"/>
          <w:szCs w:val="44"/>
        </w:rPr>
        <w:t>实</w:t>
      </w:r>
    </w:p>
    <w:p w:rsidR="00BE1972" w:rsidRDefault="00CF449E">
      <w:pPr>
        <w:jc w:val="center"/>
        <w:rPr>
          <w:rFonts w:ascii="仿宋_GB2312" w:eastAsia="仿宋_GB2312"/>
          <w:b/>
          <w:sz w:val="44"/>
          <w:szCs w:val="44"/>
        </w:rPr>
      </w:pPr>
      <w:r>
        <w:rPr>
          <w:rFonts w:ascii="仿宋_GB2312" w:eastAsia="仿宋_GB2312" w:hint="eastAsia"/>
          <w:b/>
          <w:sz w:val="44"/>
          <w:szCs w:val="44"/>
        </w:rPr>
        <w:t>施</w:t>
      </w:r>
    </w:p>
    <w:p w:rsidR="00BE1972" w:rsidRDefault="00CF449E">
      <w:pPr>
        <w:jc w:val="center"/>
        <w:rPr>
          <w:rFonts w:ascii="仿宋_GB2312" w:eastAsia="仿宋_GB2312"/>
          <w:b/>
          <w:sz w:val="44"/>
          <w:szCs w:val="44"/>
        </w:rPr>
      </w:pPr>
      <w:r>
        <w:rPr>
          <w:rFonts w:ascii="仿宋_GB2312" w:eastAsia="仿宋_GB2312" w:hint="eastAsia"/>
          <w:b/>
          <w:sz w:val="44"/>
          <w:szCs w:val="44"/>
        </w:rPr>
        <w:t>后</w:t>
      </w:r>
    </w:p>
    <w:p w:rsidR="00BE1972" w:rsidRDefault="00CF449E">
      <w:pPr>
        <w:jc w:val="center"/>
        <w:rPr>
          <w:rFonts w:ascii="仿宋_GB2312" w:eastAsia="仿宋_GB2312"/>
          <w:b/>
          <w:sz w:val="44"/>
          <w:szCs w:val="44"/>
        </w:rPr>
      </w:pPr>
      <w:r>
        <w:rPr>
          <w:rFonts w:ascii="仿宋_GB2312" w:eastAsia="仿宋_GB2312" w:hint="eastAsia"/>
          <w:b/>
          <w:sz w:val="44"/>
          <w:szCs w:val="44"/>
        </w:rPr>
        <w:t>评</w:t>
      </w:r>
    </w:p>
    <w:p w:rsidR="00BE1972" w:rsidRDefault="00CF449E">
      <w:pPr>
        <w:jc w:val="center"/>
        <w:rPr>
          <w:rFonts w:ascii="仿宋_GB2312" w:eastAsia="仿宋_GB2312"/>
          <w:b/>
          <w:sz w:val="44"/>
          <w:szCs w:val="44"/>
        </w:rPr>
      </w:pPr>
      <w:proofErr w:type="gramStart"/>
      <w:r>
        <w:rPr>
          <w:rFonts w:ascii="仿宋_GB2312" w:eastAsia="仿宋_GB2312" w:hint="eastAsia"/>
          <w:b/>
          <w:sz w:val="44"/>
          <w:szCs w:val="44"/>
        </w:rPr>
        <w:t>估</w:t>
      </w:r>
      <w:proofErr w:type="gramEnd"/>
    </w:p>
    <w:p w:rsidR="00BE1972" w:rsidRDefault="00CF449E">
      <w:pPr>
        <w:jc w:val="center"/>
        <w:rPr>
          <w:rFonts w:ascii="仿宋_GB2312" w:eastAsia="仿宋_GB2312"/>
          <w:b/>
          <w:sz w:val="44"/>
          <w:szCs w:val="44"/>
        </w:rPr>
      </w:pPr>
      <w:r>
        <w:rPr>
          <w:rFonts w:ascii="仿宋_GB2312" w:eastAsia="仿宋_GB2312" w:hint="eastAsia"/>
          <w:b/>
          <w:sz w:val="44"/>
          <w:szCs w:val="44"/>
        </w:rPr>
        <w:t>报</w:t>
      </w:r>
    </w:p>
    <w:p w:rsidR="00BE1972" w:rsidRDefault="00CF449E">
      <w:pPr>
        <w:jc w:val="center"/>
        <w:rPr>
          <w:rFonts w:ascii="仿宋_GB2312" w:eastAsia="仿宋_GB2312"/>
          <w:b/>
          <w:sz w:val="44"/>
          <w:szCs w:val="44"/>
        </w:rPr>
      </w:pPr>
      <w:r>
        <w:rPr>
          <w:rFonts w:ascii="仿宋_GB2312" w:eastAsia="仿宋_GB2312" w:hint="eastAsia"/>
          <w:b/>
          <w:sz w:val="44"/>
          <w:szCs w:val="44"/>
        </w:rPr>
        <w:t>告</w:t>
      </w:r>
    </w:p>
    <w:p w:rsidR="00BE1972" w:rsidRDefault="00BE1972">
      <w:pPr>
        <w:jc w:val="left"/>
        <w:rPr>
          <w:rFonts w:ascii="仿宋_GB2312" w:eastAsia="仿宋_GB2312"/>
          <w:b/>
          <w:sz w:val="32"/>
          <w:szCs w:val="32"/>
        </w:rPr>
      </w:pPr>
    </w:p>
    <w:p w:rsidR="00BE1972" w:rsidRDefault="00BE1972">
      <w:pPr>
        <w:ind w:firstLineChars="200" w:firstLine="640"/>
        <w:jc w:val="center"/>
        <w:rPr>
          <w:rFonts w:ascii="仿宋_GB2312" w:eastAsia="仿宋_GB2312"/>
          <w:bCs/>
          <w:sz w:val="32"/>
          <w:szCs w:val="32"/>
        </w:rPr>
      </w:pPr>
    </w:p>
    <w:p w:rsidR="00BE1972" w:rsidRDefault="00BE1972">
      <w:pPr>
        <w:ind w:firstLineChars="200" w:firstLine="640"/>
        <w:jc w:val="center"/>
        <w:rPr>
          <w:rFonts w:ascii="仿宋_GB2312" w:eastAsia="仿宋_GB2312"/>
          <w:bCs/>
          <w:sz w:val="32"/>
          <w:szCs w:val="32"/>
        </w:rPr>
      </w:pPr>
    </w:p>
    <w:p w:rsidR="00BE1972" w:rsidRDefault="00BE1972">
      <w:pPr>
        <w:ind w:firstLineChars="200" w:firstLine="640"/>
        <w:jc w:val="center"/>
        <w:rPr>
          <w:rFonts w:ascii="仿宋_GB2312" w:eastAsia="仿宋_GB2312"/>
          <w:bCs/>
          <w:sz w:val="32"/>
          <w:szCs w:val="32"/>
        </w:rPr>
      </w:pPr>
    </w:p>
    <w:p w:rsidR="00BE1972" w:rsidRDefault="00CF449E">
      <w:pPr>
        <w:ind w:firstLineChars="200" w:firstLine="640"/>
        <w:jc w:val="center"/>
        <w:rPr>
          <w:rFonts w:ascii="仿宋_GB2312" w:eastAsia="仿宋_GB2312"/>
          <w:bCs/>
          <w:sz w:val="32"/>
          <w:szCs w:val="32"/>
        </w:rPr>
      </w:pPr>
      <w:r>
        <w:rPr>
          <w:rFonts w:ascii="仿宋_GB2312" w:eastAsia="仿宋_GB2312" w:hint="eastAsia"/>
          <w:bCs/>
          <w:sz w:val="32"/>
          <w:szCs w:val="32"/>
        </w:rPr>
        <w:t>杭州市城乡建设发展研究院</w:t>
      </w:r>
    </w:p>
    <w:p w:rsidR="00BE1972" w:rsidRDefault="00CF449E">
      <w:pPr>
        <w:ind w:firstLineChars="200" w:firstLine="640"/>
        <w:jc w:val="center"/>
        <w:rPr>
          <w:rFonts w:ascii="仿宋_GB2312" w:eastAsia="仿宋_GB2312"/>
          <w:bCs/>
          <w:sz w:val="32"/>
          <w:szCs w:val="32"/>
        </w:rPr>
        <w:sectPr w:rsidR="00BE1972">
          <w:footerReference w:type="default" r:id="rId9"/>
          <w:pgSz w:w="11906" w:h="16838"/>
          <w:pgMar w:top="1440" w:right="1800" w:bottom="1440" w:left="1800" w:header="851" w:footer="992" w:gutter="0"/>
          <w:cols w:space="425"/>
          <w:docGrid w:type="lines" w:linePitch="312"/>
        </w:sectPr>
      </w:pPr>
      <w:r>
        <w:rPr>
          <w:rFonts w:ascii="仿宋_GB2312" w:eastAsia="仿宋_GB2312" w:hint="eastAsia"/>
          <w:bCs/>
          <w:sz w:val="32"/>
          <w:szCs w:val="32"/>
        </w:rPr>
        <w:t>2020年11月</w:t>
      </w:r>
    </w:p>
    <w:sdt>
      <w:sdtPr>
        <w:rPr>
          <w:rFonts w:asciiTheme="minorHAnsi" w:eastAsiaTheme="minorEastAsia" w:hAnsiTheme="minorHAnsi" w:cstheme="minorBidi"/>
          <w:color w:val="auto"/>
          <w:kern w:val="2"/>
          <w:sz w:val="21"/>
          <w:szCs w:val="24"/>
          <w:lang w:val="zh-CN"/>
        </w:rPr>
        <w:id w:val="934865753"/>
        <w:docPartObj>
          <w:docPartGallery w:val="Table of Contents"/>
          <w:docPartUnique/>
        </w:docPartObj>
      </w:sdtPr>
      <w:sdtEndPr>
        <w:rPr>
          <w:b/>
          <w:bCs/>
        </w:rPr>
      </w:sdtEndPr>
      <w:sdtContent>
        <w:p w:rsidR="00BE1972" w:rsidRDefault="00CF449E">
          <w:pPr>
            <w:pStyle w:val="TOC1"/>
            <w:jc w:val="center"/>
            <w:rPr>
              <w:rFonts w:ascii="宋体" w:eastAsia="宋体" w:hAnsi="宋体" w:cs="宋体"/>
              <w:b/>
              <w:bCs/>
              <w:color w:val="auto"/>
              <w:lang w:val="zh-CN"/>
            </w:rPr>
          </w:pPr>
          <w:r>
            <w:rPr>
              <w:rFonts w:ascii="宋体" w:eastAsia="宋体" w:hAnsi="宋体" w:cs="宋体" w:hint="eastAsia"/>
              <w:b/>
              <w:bCs/>
              <w:color w:val="auto"/>
              <w:lang w:val="zh-CN"/>
            </w:rPr>
            <w:t>目</w:t>
          </w:r>
          <w:r>
            <w:rPr>
              <w:rFonts w:ascii="宋体" w:eastAsia="宋体" w:hAnsi="宋体" w:cs="宋体" w:hint="eastAsia"/>
              <w:b/>
              <w:bCs/>
              <w:color w:val="auto"/>
            </w:rPr>
            <w:t xml:space="preserve">  </w:t>
          </w:r>
          <w:r>
            <w:rPr>
              <w:rFonts w:ascii="宋体" w:eastAsia="宋体" w:hAnsi="宋体" w:cs="宋体" w:hint="eastAsia"/>
              <w:b/>
              <w:bCs/>
              <w:color w:val="auto"/>
              <w:lang w:val="zh-CN"/>
            </w:rPr>
            <w:t>录</w:t>
          </w:r>
        </w:p>
        <w:p w:rsidR="00BE1972" w:rsidRDefault="00BE1972">
          <w:pPr>
            <w:rPr>
              <w:rFonts w:ascii="宋体" w:eastAsia="宋体" w:hAnsi="宋体" w:cs="宋体"/>
              <w:b/>
              <w:bCs/>
              <w:sz w:val="28"/>
              <w:szCs w:val="28"/>
              <w:lang w:val="zh-CN"/>
            </w:rPr>
          </w:pPr>
        </w:p>
        <w:p w:rsidR="00BE1972" w:rsidRDefault="00BE1972">
          <w:pPr>
            <w:rPr>
              <w:rFonts w:ascii="宋体" w:eastAsia="宋体" w:hAnsi="宋体" w:cs="宋体"/>
              <w:b/>
              <w:bCs/>
              <w:sz w:val="28"/>
              <w:szCs w:val="28"/>
              <w:lang w:val="zh-CN"/>
            </w:rPr>
          </w:pPr>
        </w:p>
        <w:p w:rsidR="00BE1972" w:rsidRDefault="00CF449E">
          <w:pPr>
            <w:pStyle w:val="10"/>
            <w:tabs>
              <w:tab w:val="right" w:leader="dot" w:pos="8306"/>
            </w:tabs>
            <w:rPr>
              <w:rFonts w:ascii="宋体" w:eastAsia="宋体" w:hAnsi="宋体" w:cs="宋体"/>
              <w:sz w:val="28"/>
              <w:szCs w:val="28"/>
            </w:rPr>
          </w:pPr>
          <w:r>
            <w:rPr>
              <w:rFonts w:ascii="宋体" w:eastAsia="宋体" w:hAnsi="宋体" w:cs="宋体" w:hint="eastAsia"/>
              <w:b/>
              <w:bCs/>
              <w:sz w:val="28"/>
              <w:szCs w:val="28"/>
              <w:lang w:val="zh-CN"/>
            </w:rPr>
            <w:fldChar w:fldCharType="begin"/>
          </w:r>
          <w:r>
            <w:rPr>
              <w:rFonts w:ascii="宋体" w:eastAsia="宋体" w:hAnsi="宋体" w:cs="宋体" w:hint="eastAsia"/>
              <w:b/>
              <w:bCs/>
              <w:sz w:val="28"/>
              <w:szCs w:val="28"/>
              <w:lang w:val="zh-CN"/>
            </w:rPr>
            <w:instrText xml:space="preserve"> TOC \o "1-3" \h \z \u </w:instrText>
          </w:r>
          <w:r>
            <w:rPr>
              <w:rFonts w:ascii="宋体" w:eastAsia="宋体" w:hAnsi="宋体" w:cs="宋体" w:hint="eastAsia"/>
              <w:b/>
              <w:bCs/>
              <w:sz w:val="28"/>
              <w:szCs w:val="28"/>
              <w:lang w:val="zh-CN"/>
            </w:rPr>
            <w:fldChar w:fldCharType="separate"/>
          </w:r>
          <w:hyperlink w:anchor="_Toc23009" w:history="1">
            <w:r>
              <w:rPr>
                <w:rFonts w:ascii="宋体" w:eastAsia="宋体" w:hAnsi="宋体" w:cs="宋体" w:hint="eastAsia"/>
                <w:sz w:val="28"/>
                <w:szCs w:val="28"/>
              </w:rPr>
              <w:t>一、实施背景概述</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_Toc23009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hyperlink>
        </w:p>
        <w:p w:rsidR="00BE1972" w:rsidRDefault="0040399F">
          <w:pPr>
            <w:pStyle w:val="10"/>
            <w:tabs>
              <w:tab w:val="right" w:leader="dot" w:pos="8306"/>
            </w:tabs>
            <w:rPr>
              <w:rFonts w:ascii="宋体" w:eastAsia="宋体" w:hAnsi="宋体" w:cs="宋体"/>
              <w:sz w:val="28"/>
              <w:szCs w:val="28"/>
            </w:rPr>
          </w:pPr>
          <w:hyperlink w:anchor="_Toc12720" w:history="1">
            <w:r w:rsidR="00CF449E">
              <w:rPr>
                <w:rFonts w:ascii="宋体" w:eastAsia="宋体" w:hAnsi="宋体" w:cs="宋体" w:hint="eastAsia"/>
                <w:sz w:val="28"/>
                <w:szCs w:val="28"/>
              </w:rPr>
              <w:t>二、实施情况评估</w:t>
            </w:r>
            <w:r w:rsidR="00CF449E">
              <w:rPr>
                <w:rFonts w:ascii="宋体" w:eastAsia="宋体" w:hAnsi="宋体" w:cs="宋体" w:hint="eastAsia"/>
                <w:sz w:val="28"/>
                <w:szCs w:val="28"/>
              </w:rPr>
              <w:tab/>
            </w:r>
            <w:r w:rsidR="00CF449E">
              <w:rPr>
                <w:rFonts w:ascii="宋体" w:eastAsia="宋体" w:hAnsi="宋体" w:cs="宋体" w:hint="eastAsia"/>
                <w:sz w:val="28"/>
                <w:szCs w:val="28"/>
              </w:rPr>
              <w:fldChar w:fldCharType="begin"/>
            </w:r>
            <w:r w:rsidR="00CF449E">
              <w:rPr>
                <w:rFonts w:ascii="宋体" w:eastAsia="宋体" w:hAnsi="宋体" w:cs="宋体" w:hint="eastAsia"/>
                <w:sz w:val="28"/>
                <w:szCs w:val="28"/>
              </w:rPr>
              <w:instrText xml:space="preserve"> PAGEREF _Toc12720 </w:instrText>
            </w:r>
            <w:r w:rsidR="00CF449E">
              <w:rPr>
                <w:rFonts w:ascii="宋体" w:eastAsia="宋体" w:hAnsi="宋体" w:cs="宋体" w:hint="eastAsia"/>
                <w:sz w:val="28"/>
                <w:szCs w:val="28"/>
              </w:rPr>
              <w:fldChar w:fldCharType="separate"/>
            </w:r>
            <w:r w:rsidR="00CF449E">
              <w:rPr>
                <w:rFonts w:ascii="宋体" w:eastAsia="宋体" w:hAnsi="宋体" w:cs="宋体" w:hint="eastAsia"/>
                <w:sz w:val="28"/>
                <w:szCs w:val="28"/>
              </w:rPr>
              <w:t>2</w:t>
            </w:r>
            <w:r w:rsidR="00CF449E">
              <w:rPr>
                <w:rFonts w:ascii="宋体" w:eastAsia="宋体" w:hAnsi="宋体" w:cs="宋体" w:hint="eastAsia"/>
                <w:sz w:val="28"/>
                <w:szCs w:val="28"/>
              </w:rPr>
              <w:fldChar w:fldCharType="end"/>
            </w:r>
          </w:hyperlink>
        </w:p>
        <w:p w:rsidR="00BE1972" w:rsidRDefault="0040399F">
          <w:pPr>
            <w:pStyle w:val="20"/>
            <w:tabs>
              <w:tab w:val="right" w:leader="dot" w:pos="8306"/>
            </w:tabs>
            <w:rPr>
              <w:rFonts w:ascii="宋体" w:eastAsia="宋体" w:hAnsi="宋体" w:cs="宋体"/>
              <w:sz w:val="28"/>
              <w:szCs w:val="28"/>
            </w:rPr>
          </w:pPr>
          <w:hyperlink w:anchor="_Toc22404" w:history="1">
            <w:r w:rsidR="00CF449E">
              <w:rPr>
                <w:rFonts w:ascii="宋体" w:eastAsia="宋体" w:hAnsi="宋体" w:cs="宋体" w:hint="eastAsia"/>
                <w:sz w:val="28"/>
                <w:szCs w:val="28"/>
              </w:rPr>
              <w:t>（一）工作任务完成情况</w:t>
            </w:r>
            <w:r w:rsidR="00CF449E">
              <w:rPr>
                <w:rFonts w:ascii="宋体" w:eastAsia="宋体" w:hAnsi="宋体" w:cs="宋体" w:hint="eastAsia"/>
                <w:sz w:val="28"/>
                <w:szCs w:val="28"/>
              </w:rPr>
              <w:tab/>
            </w:r>
            <w:r w:rsidR="00CF449E">
              <w:rPr>
                <w:rFonts w:ascii="宋体" w:eastAsia="宋体" w:hAnsi="宋体" w:cs="宋体" w:hint="eastAsia"/>
                <w:sz w:val="28"/>
                <w:szCs w:val="28"/>
              </w:rPr>
              <w:fldChar w:fldCharType="begin"/>
            </w:r>
            <w:r w:rsidR="00CF449E">
              <w:rPr>
                <w:rFonts w:ascii="宋体" w:eastAsia="宋体" w:hAnsi="宋体" w:cs="宋体" w:hint="eastAsia"/>
                <w:sz w:val="28"/>
                <w:szCs w:val="28"/>
              </w:rPr>
              <w:instrText xml:space="preserve"> PAGEREF _Toc22404 </w:instrText>
            </w:r>
            <w:r w:rsidR="00CF449E">
              <w:rPr>
                <w:rFonts w:ascii="宋体" w:eastAsia="宋体" w:hAnsi="宋体" w:cs="宋体" w:hint="eastAsia"/>
                <w:sz w:val="28"/>
                <w:szCs w:val="28"/>
              </w:rPr>
              <w:fldChar w:fldCharType="separate"/>
            </w:r>
            <w:r w:rsidR="00CF449E">
              <w:rPr>
                <w:rFonts w:ascii="宋体" w:eastAsia="宋体" w:hAnsi="宋体" w:cs="宋体" w:hint="eastAsia"/>
                <w:sz w:val="28"/>
                <w:szCs w:val="28"/>
              </w:rPr>
              <w:t>2</w:t>
            </w:r>
            <w:r w:rsidR="00CF449E">
              <w:rPr>
                <w:rFonts w:ascii="宋体" w:eastAsia="宋体" w:hAnsi="宋体" w:cs="宋体" w:hint="eastAsia"/>
                <w:sz w:val="28"/>
                <w:szCs w:val="28"/>
              </w:rPr>
              <w:fldChar w:fldCharType="end"/>
            </w:r>
          </w:hyperlink>
        </w:p>
        <w:p w:rsidR="00BE1972" w:rsidRDefault="0040399F">
          <w:pPr>
            <w:pStyle w:val="20"/>
            <w:tabs>
              <w:tab w:val="right" w:leader="dot" w:pos="8306"/>
            </w:tabs>
            <w:rPr>
              <w:rFonts w:ascii="宋体" w:eastAsia="宋体" w:hAnsi="宋体" w:cs="宋体"/>
              <w:sz w:val="28"/>
              <w:szCs w:val="28"/>
            </w:rPr>
          </w:pPr>
          <w:hyperlink w:anchor="_Toc6771" w:history="1">
            <w:r w:rsidR="00CF449E">
              <w:rPr>
                <w:rFonts w:ascii="宋体" w:eastAsia="宋体" w:hAnsi="宋体" w:cs="宋体" w:hint="eastAsia"/>
                <w:sz w:val="28"/>
                <w:szCs w:val="28"/>
              </w:rPr>
              <w:t>（二）主要做法和措施</w:t>
            </w:r>
            <w:r w:rsidR="00CF449E">
              <w:rPr>
                <w:rFonts w:ascii="宋体" w:eastAsia="宋体" w:hAnsi="宋体" w:cs="宋体" w:hint="eastAsia"/>
                <w:sz w:val="28"/>
                <w:szCs w:val="28"/>
              </w:rPr>
              <w:tab/>
            </w:r>
            <w:r w:rsidR="00CF449E">
              <w:rPr>
                <w:rFonts w:ascii="宋体" w:eastAsia="宋体" w:hAnsi="宋体" w:cs="宋体" w:hint="eastAsia"/>
                <w:sz w:val="28"/>
                <w:szCs w:val="28"/>
              </w:rPr>
              <w:fldChar w:fldCharType="begin"/>
            </w:r>
            <w:r w:rsidR="00CF449E">
              <w:rPr>
                <w:rFonts w:ascii="宋体" w:eastAsia="宋体" w:hAnsi="宋体" w:cs="宋体" w:hint="eastAsia"/>
                <w:sz w:val="28"/>
                <w:szCs w:val="28"/>
              </w:rPr>
              <w:instrText xml:space="preserve"> PAGEREF _Toc6771 </w:instrText>
            </w:r>
            <w:r w:rsidR="00CF449E">
              <w:rPr>
                <w:rFonts w:ascii="宋体" w:eastAsia="宋体" w:hAnsi="宋体" w:cs="宋体" w:hint="eastAsia"/>
                <w:sz w:val="28"/>
                <w:szCs w:val="28"/>
              </w:rPr>
              <w:fldChar w:fldCharType="separate"/>
            </w:r>
            <w:r w:rsidR="00CF449E">
              <w:rPr>
                <w:rFonts w:ascii="宋体" w:eastAsia="宋体" w:hAnsi="宋体" w:cs="宋体" w:hint="eastAsia"/>
                <w:sz w:val="28"/>
                <w:szCs w:val="28"/>
              </w:rPr>
              <w:t>6</w:t>
            </w:r>
            <w:r w:rsidR="00CF449E">
              <w:rPr>
                <w:rFonts w:ascii="宋体" w:eastAsia="宋体" w:hAnsi="宋体" w:cs="宋体" w:hint="eastAsia"/>
                <w:sz w:val="28"/>
                <w:szCs w:val="28"/>
              </w:rPr>
              <w:fldChar w:fldCharType="end"/>
            </w:r>
          </w:hyperlink>
        </w:p>
        <w:p w:rsidR="00BE1972" w:rsidRDefault="0040399F">
          <w:pPr>
            <w:pStyle w:val="20"/>
            <w:tabs>
              <w:tab w:val="right" w:leader="dot" w:pos="8306"/>
            </w:tabs>
            <w:rPr>
              <w:rFonts w:ascii="宋体" w:eastAsia="宋体" w:hAnsi="宋体" w:cs="宋体"/>
              <w:sz w:val="28"/>
              <w:szCs w:val="28"/>
            </w:rPr>
          </w:pPr>
          <w:hyperlink w:anchor="_Toc16339" w:history="1">
            <w:r w:rsidR="00CF449E">
              <w:rPr>
                <w:rFonts w:ascii="宋体" w:eastAsia="宋体" w:hAnsi="宋体" w:cs="宋体" w:hint="eastAsia"/>
                <w:sz w:val="28"/>
                <w:szCs w:val="28"/>
              </w:rPr>
              <w:t>（三）宣贯工作</w:t>
            </w:r>
            <w:r w:rsidR="00CF449E">
              <w:rPr>
                <w:rFonts w:ascii="宋体" w:eastAsia="宋体" w:hAnsi="宋体" w:cs="宋体" w:hint="eastAsia"/>
                <w:sz w:val="28"/>
                <w:szCs w:val="28"/>
              </w:rPr>
              <w:tab/>
            </w:r>
            <w:r w:rsidR="00CF449E">
              <w:rPr>
                <w:rFonts w:ascii="宋体" w:eastAsia="宋体" w:hAnsi="宋体" w:cs="宋体" w:hint="eastAsia"/>
                <w:sz w:val="28"/>
                <w:szCs w:val="28"/>
              </w:rPr>
              <w:fldChar w:fldCharType="begin"/>
            </w:r>
            <w:r w:rsidR="00CF449E">
              <w:rPr>
                <w:rFonts w:ascii="宋体" w:eastAsia="宋体" w:hAnsi="宋体" w:cs="宋体" w:hint="eastAsia"/>
                <w:sz w:val="28"/>
                <w:szCs w:val="28"/>
              </w:rPr>
              <w:instrText xml:space="preserve"> PAGEREF _Toc16339 </w:instrText>
            </w:r>
            <w:r w:rsidR="00CF449E">
              <w:rPr>
                <w:rFonts w:ascii="宋体" w:eastAsia="宋体" w:hAnsi="宋体" w:cs="宋体" w:hint="eastAsia"/>
                <w:sz w:val="28"/>
                <w:szCs w:val="28"/>
              </w:rPr>
              <w:fldChar w:fldCharType="separate"/>
            </w:r>
            <w:r w:rsidR="00CF449E">
              <w:rPr>
                <w:rFonts w:ascii="宋体" w:eastAsia="宋体" w:hAnsi="宋体" w:cs="宋体" w:hint="eastAsia"/>
                <w:sz w:val="28"/>
                <w:szCs w:val="28"/>
              </w:rPr>
              <w:t>8</w:t>
            </w:r>
            <w:r w:rsidR="00CF449E">
              <w:rPr>
                <w:rFonts w:ascii="宋体" w:eastAsia="宋体" w:hAnsi="宋体" w:cs="宋体" w:hint="eastAsia"/>
                <w:sz w:val="28"/>
                <w:szCs w:val="28"/>
              </w:rPr>
              <w:fldChar w:fldCharType="end"/>
            </w:r>
          </w:hyperlink>
        </w:p>
        <w:p w:rsidR="00BE1972" w:rsidRDefault="0040399F">
          <w:pPr>
            <w:pStyle w:val="20"/>
            <w:tabs>
              <w:tab w:val="right" w:leader="dot" w:pos="8306"/>
            </w:tabs>
            <w:rPr>
              <w:rFonts w:ascii="宋体" w:eastAsia="宋体" w:hAnsi="宋体" w:cs="宋体"/>
              <w:sz w:val="28"/>
              <w:szCs w:val="28"/>
            </w:rPr>
          </w:pPr>
          <w:hyperlink w:anchor="_Toc8926" w:history="1">
            <w:r w:rsidR="00CF449E">
              <w:rPr>
                <w:rFonts w:ascii="宋体" w:eastAsia="宋体" w:hAnsi="宋体" w:cs="宋体" w:hint="eastAsia"/>
                <w:sz w:val="28"/>
                <w:szCs w:val="28"/>
              </w:rPr>
              <w:t>（四）存在的问题</w:t>
            </w:r>
            <w:r w:rsidR="00CF449E">
              <w:rPr>
                <w:rFonts w:ascii="宋体" w:eastAsia="宋体" w:hAnsi="宋体" w:cs="宋体" w:hint="eastAsia"/>
                <w:sz w:val="28"/>
                <w:szCs w:val="28"/>
              </w:rPr>
              <w:tab/>
            </w:r>
            <w:r w:rsidR="00CF449E">
              <w:rPr>
                <w:rFonts w:ascii="宋体" w:eastAsia="宋体" w:hAnsi="宋体" w:cs="宋体" w:hint="eastAsia"/>
                <w:sz w:val="28"/>
                <w:szCs w:val="28"/>
              </w:rPr>
              <w:fldChar w:fldCharType="begin"/>
            </w:r>
            <w:r w:rsidR="00CF449E">
              <w:rPr>
                <w:rFonts w:ascii="宋体" w:eastAsia="宋体" w:hAnsi="宋体" w:cs="宋体" w:hint="eastAsia"/>
                <w:sz w:val="28"/>
                <w:szCs w:val="28"/>
              </w:rPr>
              <w:instrText xml:space="preserve"> PAGEREF _Toc8926 </w:instrText>
            </w:r>
            <w:r w:rsidR="00CF449E">
              <w:rPr>
                <w:rFonts w:ascii="宋体" w:eastAsia="宋体" w:hAnsi="宋体" w:cs="宋体" w:hint="eastAsia"/>
                <w:sz w:val="28"/>
                <w:szCs w:val="28"/>
              </w:rPr>
              <w:fldChar w:fldCharType="separate"/>
            </w:r>
            <w:r w:rsidR="00CF449E">
              <w:rPr>
                <w:rFonts w:ascii="宋体" w:eastAsia="宋体" w:hAnsi="宋体" w:cs="宋体" w:hint="eastAsia"/>
                <w:sz w:val="28"/>
                <w:szCs w:val="28"/>
              </w:rPr>
              <w:t>9</w:t>
            </w:r>
            <w:r w:rsidR="00CF449E">
              <w:rPr>
                <w:rFonts w:ascii="宋体" w:eastAsia="宋体" w:hAnsi="宋体" w:cs="宋体" w:hint="eastAsia"/>
                <w:sz w:val="28"/>
                <w:szCs w:val="28"/>
              </w:rPr>
              <w:fldChar w:fldCharType="end"/>
            </w:r>
          </w:hyperlink>
        </w:p>
        <w:p w:rsidR="00BE1972" w:rsidRDefault="0040399F">
          <w:pPr>
            <w:pStyle w:val="10"/>
            <w:tabs>
              <w:tab w:val="right" w:leader="dot" w:pos="8306"/>
            </w:tabs>
            <w:rPr>
              <w:rFonts w:ascii="宋体" w:eastAsia="宋体" w:hAnsi="宋体" w:cs="宋体"/>
              <w:sz w:val="28"/>
              <w:szCs w:val="28"/>
            </w:rPr>
          </w:pPr>
          <w:hyperlink w:anchor="_Toc26405" w:history="1">
            <w:r w:rsidR="00CF449E">
              <w:rPr>
                <w:rFonts w:ascii="宋体" w:eastAsia="宋体" w:hAnsi="宋体" w:cs="宋体" w:hint="eastAsia"/>
                <w:sz w:val="28"/>
                <w:szCs w:val="28"/>
              </w:rPr>
              <w:t>三、评估结论和建议</w:t>
            </w:r>
            <w:r w:rsidR="00CF449E">
              <w:rPr>
                <w:rFonts w:ascii="宋体" w:eastAsia="宋体" w:hAnsi="宋体" w:cs="宋体" w:hint="eastAsia"/>
                <w:sz w:val="28"/>
                <w:szCs w:val="28"/>
              </w:rPr>
              <w:tab/>
            </w:r>
            <w:r w:rsidR="00CF449E">
              <w:rPr>
                <w:rFonts w:ascii="宋体" w:eastAsia="宋体" w:hAnsi="宋体" w:cs="宋体" w:hint="eastAsia"/>
                <w:sz w:val="28"/>
                <w:szCs w:val="28"/>
              </w:rPr>
              <w:fldChar w:fldCharType="begin"/>
            </w:r>
            <w:r w:rsidR="00CF449E">
              <w:rPr>
                <w:rFonts w:ascii="宋体" w:eastAsia="宋体" w:hAnsi="宋体" w:cs="宋体" w:hint="eastAsia"/>
                <w:sz w:val="28"/>
                <w:szCs w:val="28"/>
              </w:rPr>
              <w:instrText xml:space="preserve"> PAGEREF _Toc26405 </w:instrText>
            </w:r>
            <w:r w:rsidR="00CF449E">
              <w:rPr>
                <w:rFonts w:ascii="宋体" w:eastAsia="宋体" w:hAnsi="宋体" w:cs="宋体" w:hint="eastAsia"/>
                <w:sz w:val="28"/>
                <w:szCs w:val="28"/>
              </w:rPr>
              <w:fldChar w:fldCharType="separate"/>
            </w:r>
            <w:r w:rsidR="00CF449E">
              <w:rPr>
                <w:rFonts w:ascii="宋体" w:eastAsia="宋体" w:hAnsi="宋体" w:cs="宋体" w:hint="eastAsia"/>
                <w:sz w:val="28"/>
                <w:szCs w:val="28"/>
              </w:rPr>
              <w:t>10</w:t>
            </w:r>
            <w:r w:rsidR="00CF449E">
              <w:rPr>
                <w:rFonts w:ascii="宋体" w:eastAsia="宋体" w:hAnsi="宋体" w:cs="宋体" w:hint="eastAsia"/>
                <w:sz w:val="28"/>
                <w:szCs w:val="28"/>
              </w:rPr>
              <w:fldChar w:fldCharType="end"/>
            </w:r>
          </w:hyperlink>
        </w:p>
        <w:p w:rsidR="00BE1972" w:rsidRDefault="0040399F">
          <w:pPr>
            <w:pStyle w:val="20"/>
            <w:tabs>
              <w:tab w:val="right" w:leader="dot" w:pos="8306"/>
            </w:tabs>
            <w:rPr>
              <w:rFonts w:ascii="宋体" w:eastAsia="宋体" w:hAnsi="宋体" w:cs="宋体"/>
              <w:sz w:val="28"/>
              <w:szCs w:val="28"/>
            </w:rPr>
          </w:pPr>
          <w:hyperlink w:anchor="_Toc23877" w:history="1">
            <w:r w:rsidR="00CF449E">
              <w:rPr>
                <w:rFonts w:ascii="宋体" w:eastAsia="宋体" w:hAnsi="宋体" w:cs="宋体" w:hint="eastAsia"/>
                <w:sz w:val="28"/>
                <w:szCs w:val="28"/>
              </w:rPr>
              <w:t>（一）评估结论</w:t>
            </w:r>
            <w:r w:rsidR="00CF449E">
              <w:rPr>
                <w:rFonts w:ascii="宋体" w:eastAsia="宋体" w:hAnsi="宋体" w:cs="宋体" w:hint="eastAsia"/>
                <w:sz w:val="28"/>
                <w:szCs w:val="28"/>
              </w:rPr>
              <w:tab/>
            </w:r>
            <w:r w:rsidR="00CF449E">
              <w:rPr>
                <w:rFonts w:ascii="宋体" w:eastAsia="宋体" w:hAnsi="宋体" w:cs="宋体" w:hint="eastAsia"/>
                <w:sz w:val="28"/>
                <w:szCs w:val="28"/>
              </w:rPr>
              <w:fldChar w:fldCharType="begin"/>
            </w:r>
            <w:r w:rsidR="00CF449E">
              <w:rPr>
                <w:rFonts w:ascii="宋体" w:eastAsia="宋体" w:hAnsi="宋体" w:cs="宋体" w:hint="eastAsia"/>
                <w:sz w:val="28"/>
                <w:szCs w:val="28"/>
              </w:rPr>
              <w:instrText xml:space="preserve"> PAGEREF _Toc23877 </w:instrText>
            </w:r>
            <w:r w:rsidR="00CF449E">
              <w:rPr>
                <w:rFonts w:ascii="宋体" w:eastAsia="宋体" w:hAnsi="宋体" w:cs="宋体" w:hint="eastAsia"/>
                <w:sz w:val="28"/>
                <w:szCs w:val="28"/>
              </w:rPr>
              <w:fldChar w:fldCharType="separate"/>
            </w:r>
            <w:r w:rsidR="00CF449E">
              <w:rPr>
                <w:rFonts w:ascii="宋体" w:eastAsia="宋体" w:hAnsi="宋体" w:cs="宋体" w:hint="eastAsia"/>
                <w:sz w:val="28"/>
                <w:szCs w:val="28"/>
              </w:rPr>
              <w:t>10</w:t>
            </w:r>
            <w:r w:rsidR="00CF449E">
              <w:rPr>
                <w:rFonts w:ascii="宋体" w:eastAsia="宋体" w:hAnsi="宋体" w:cs="宋体" w:hint="eastAsia"/>
                <w:sz w:val="28"/>
                <w:szCs w:val="28"/>
              </w:rPr>
              <w:fldChar w:fldCharType="end"/>
            </w:r>
          </w:hyperlink>
        </w:p>
        <w:p w:rsidR="00BE1972" w:rsidRDefault="0040399F">
          <w:pPr>
            <w:pStyle w:val="20"/>
            <w:tabs>
              <w:tab w:val="right" w:leader="dot" w:pos="8306"/>
            </w:tabs>
            <w:rPr>
              <w:rFonts w:ascii="宋体" w:eastAsia="宋体" w:hAnsi="宋体" w:cs="宋体"/>
              <w:sz w:val="28"/>
              <w:szCs w:val="28"/>
            </w:rPr>
          </w:pPr>
          <w:hyperlink w:anchor="_Toc20600" w:history="1">
            <w:r w:rsidR="00CF449E">
              <w:rPr>
                <w:rFonts w:ascii="宋体" w:eastAsia="宋体" w:hAnsi="宋体" w:cs="宋体" w:hint="eastAsia"/>
                <w:sz w:val="28"/>
                <w:szCs w:val="28"/>
              </w:rPr>
              <w:t>（二）下一步建议</w:t>
            </w:r>
            <w:r w:rsidR="00CF449E">
              <w:rPr>
                <w:rFonts w:ascii="宋体" w:eastAsia="宋体" w:hAnsi="宋体" w:cs="宋体" w:hint="eastAsia"/>
                <w:sz w:val="28"/>
                <w:szCs w:val="28"/>
              </w:rPr>
              <w:tab/>
            </w:r>
            <w:r w:rsidR="00CF449E">
              <w:rPr>
                <w:rFonts w:ascii="宋体" w:eastAsia="宋体" w:hAnsi="宋体" w:cs="宋体" w:hint="eastAsia"/>
                <w:sz w:val="28"/>
                <w:szCs w:val="28"/>
              </w:rPr>
              <w:fldChar w:fldCharType="begin"/>
            </w:r>
            <w:r w:rsidR="00CF449E">
              <w:rPr>
                <w:rFonts w:ascii="宋体" w:eastAsia="宋体" w:hAnsi="宋体" w:cs="宋体" w:hint="eastAsia"/>
                <w:sz w:val="28"/>
                <w:szCs w:val="28"/>
              </w:rPr>
              <w:instrText xml:space="preserve"> PAGEREF _Toc20600 </w:instrText>
            </w:r>
            <w:r w:rsidR="00CF449E">
              <w:rPr>
                <w:rFonts w:ascii="宋体" w:eastAsia="宋体" w:hAnsi="宋体" w:cs="宋体" w:hint="eastAsia"/>
                <w:sz w:val="28"/>
                <w:szCs w:val="28"/>
              </w:rPr>
              <w:fldChar w:fldCharType="separate"/>
            </w:r>
            <w:r w:rsidR="00CF449E">
              <w:rPr>
                <w:rFonts w:ascii="宋体" w:eastAsia="宋体" w:hAnsi="宋体" w:cs="宋体" w:hint="eastAsia"/>
                <w:sz w:val="28"/>
                <w:szCs w:val="28"/>
              </w:rPr>
              <w:t>12</w:t>
            </w:r>
            <w:r w:rsidR="00CF449E">
              <w:rPr>
                <w:rFonts w:ascii="宋体" w:eastAsia="宋体" w:hAnsi="宋体" w:cs="宋体" w:hint="eastAsia"/>
                <w:sz w:val="28"/>
                <w:szCs w:val="28"/>
              </w:rPr>
              <w:fldChar w:fldCharType="end"/>
            </w:r>
          </w:hyperlink>
        </w:p>
        <w:p w:rsidR="00BE1972" w:rsidRDefault="00CF449E">
          <w:r>
            <w:rPr>
              <w:rFonts w:ascii="宋体" w:eastAsia="宋体" w:hAnsi="宋体" w:cs="宋体" w:hint="eastAsia"/>
              <w:bCs/>
              <w:sz w:val="28"/>
              <w:szCs w:val="28"/>
              <w:lang w:val="zh-CN"/>
            </w:rPr>
            <w:fldChar w:fldCharType="end"/>
          </w:r>
        </w:p>
      </w:sdtContent>
    </w:sdt>
    <w:p w:rsidR="00BE1972" w:rsidRDefault="00BE1972">
      <w:pPr>
        <w:ind w:firstLineChars="200" w:firstLine="640"/>
        <w:jc w:val="center"/>
        <w:rPr>
          <w:rFonts w:ascii="仿宋_GB2312" w:eastAsia="仿宋_GB2312"/>
          <w:bCs/>
          <w:sz w:val="32"/>
          <w:szCs w:val="32"/>
        </w:rPr>
      </w:pPr>
    </w:p>
    <w:p w:rsidR="00BE1972" w:rsidRDefault="00BE1972">
      <w:pPr>
        <w:ind w:firstLineChars="200" w:firstLine="640"/>
        <w:jc w:val="center"/>
        <w:rPr>
          <w:rFonts w:ascii="仿宋_GB2312" w:eastAsia="仿宋_GB2312"/>
          <w:bCs/>
          <w:sz w:val="32"/>
          <w:szCs w:val="32"/>
        </w:rPr>
      </w:pPr>
    </w:p>
    <w:p w:rsidR="00BE1972" w:rsidRDefault="00BE1972">
      <w:pPr>
        <w:ind w:firstLineChars="200" w:firstLine="640"/>
        <w:jc w:val="center"/>
        <w:rPr>
          <w:rFonts w:ascii="仿宋_GB2312" w:eastAsia="仿宋_GB2312"/>
          <w:bCs/>
          <w:sz w:val="32"/>
          <w:szCs w:val="32"/>
        </w:rPr>
      </w:pPr>
    </w:p>
    <w:p w:rsidR="00BE1972" w:rsidRDefault="00BE1972">
      <w:pPr>
        <w:ind w:firstLineChars="200" w:firstLine="640"/>
        <w:jc w:val="center"/>
        <w:rPr>
          <w:rFonts w:ascii="仿宋_GB2312" w:eastAsia="仿宋_GB2312"/>
          <w:bCs/>
          <w:sz w:val="32"/>
          <w:szCs w:val="32"/>
        </w:rPr>
      </w:pPr>
    </w:p>
    <w:p w:rsidR="00BE1972" w:rsidRDefault="00BE1972">
      <w:pPr>
        <w:ind w:firstLineChars="200" w:firstLine="640"/>
        <w:jc w:val="center"/>
        <w:rPr>
          <w:rFonts w:ascii="仿宋_GB2312" w:eastAsia="仿宋_GB2312"/>
          <w:bCs/>
          <w:sz w:val="32"/>
          <w:szCs w:val="32"/>
        </w:rPr>
      </w:pPr>
    </w:p>
    <w:p w:rsidR="00BE1972" w:rsidRDefault="00BE1972">
      <w:pPr>
        <w:ind w:firstLineChars="200" w:firstLine="640"/>
        <w:jc w:val="center"/>
        <w:rPr>
          <w:rFonts w:ascii="仿宋_GB2312" w:eastAsia="仿宋_GB2312"/>
          <w:bCs/>
          <w:sz w:val="32"/>
          <w:szCs w:val="32"/>
        </w:rPr>
      </w:pPr>
    </w:p>
    <w:p w:rsidR="00BE1972" w:rsidRDefault="00BE1972">
      <w:pPr>
        <w:ind w:firstLineChars="200" w:firstLine="640"/>
        <w:jc w:val="center"/>
        <w:rPr>
          <w:rFonts w:ascii="仿宋_GB2312" w:eastAsia="仿宋_GB2312"/>
          <w:bCs/>
          <w:sz w:val="32"/>
          <w:szCs w:val="32"/>
        </w:rPr>
      </w:pPr>
    </w:p>
    <w:p w:rsidR="00BE1972" w:rsidRDefault="00BE1972">
      <w:pPr>
        <w:ind w:firstLineChars="200" w:firstLine="640"/>
        <w:jc w:val="center"/>
        <w:rPr>
          <w:rFonts w:ascii="仿宋_GB2312" w:eastAsia="仿宋_GB2312"/>
          <w:bCs/>
          <w:sz w:val="32"/>
          <w:szCs w:val="32"/>
        </w:rPr>
      </w:pPr>
    </w:p>
    <w:p w:rsidR="00BE1972" w:rsidRDefault="00BE1972">
      <w:pPr>
        <w:ind w:firstLineChars="200" w:firstLine="640"/>
        <w:jc w:val="center"/>
        <w:rPr>
          <w:rFonts w:ascii="仿宋_GB2312" w:eastAsia="仿宋_GB2312"/>
          <w:bCs/>
          <w:sz w:val="32"/>
          <w:szCs w:val="32"/>
        </w:rPr>
      </w:pPr>
    </w:p>
    <w:p w:rsidR="00BE1972" w:rsidRDefault="00CF449E">
      <w:pPr>
        <w:pStyle w:val="1"/>
        <w:ind w:firstLineChars="200" w:firstLine="643"/>
        <w:rPr>
          <w:rFonts w:ascii="仿宋_GB2312" w:eastAsia="仿宋_GB2312"/>
          <w:b w:val="0"/>
          <w:sz w:val="32"/>
          <w:szCs w:val="32"/>
        </w:rPr>
      </w:pPr>
      <w:bookmarkStart w:id="1" w:name="_Toc23009"/>
      <w:r>
        <w:rPr>
          <w:rFonts w:ascii="仿宋_GB2312" w:eastAsia="仿宋_GB2312" w:hint="eastAsia"/>
          <w:sz w:val="32"/>
          <w:szCs w:val="32"/>
        </w:rPr>
        <w:t>一、实施背景概述</w:t>
      </w:r>
      <w:bookmarkEnd w:id="1"/>
    </w:p>
    <w:p w:rsidR="00BE1972" w:rsidRDefault="00CF449E">
      <w:pPr>
        <w:spacing w:line="360" w:lineRule="auto"/>
        <w:ind w:firstLineChars="200" w:firstLine="560"/>
        <w:rPr>
          <w:rFonts w:ascii="仿宋_GB2312" w:eastAsia="仿宋_GB2312"/>
          <w:sz w:val="28"/>
          <w:szCs w:val="28"/>
        </w:rPr>
      </w:pPr>
      <w:r>
        <w:rPr>
          <w:rFonts w:ascii="仿宋_GB2312" w:eastAsia="仿宋_GB2312" w:hint="eastAsia"/>
          <w:sz w:val="28"/>
          <w:szCs w:val="28"/>
        </w:rPr>
        <w:t>2017年11月，住建部、中国银行业监督管理委会会印发《住房城乡建设部办公厅、银监会办公厅关于批复2017年公共建筑能效提升重点城市建设方案的通知》（</w:t>
      </w:r>
      <w:proofErr w:type="gramStart"/>
      <w:r>
        <w:rPr>
          <w:rFonts w:ascii="仿宋_GB2312" w:eastAsia="仿宋_GB2312" w:hint="eastAsia"/>
          <w:sz w:val="28"/>
          <w:szCs w:val="28"/>
        </w:rPr>
        <w:t>建办科〔2017〕</w:t>
      </w:r>
      <w:proofErr w:type="gramEnd"/>
      <w:r>
        <w:rPr>
          <w:rFonts w:ascii="仿宋_GB2312" w:eastAsia="仿宋_GB2312" w:hint="eastAsia"/>
          <w:sz w:val="28"/>
          <w:szCs w:val="28"/>
        </w:rPr>
        <w:t>72号），杭州市被列入公共建筑能效提升重点城市并明确了240万平方米的改造任务面积目标。</w:t>
      </w:r>
    </w:p>
    <w:p w:rsidR="00BE1972" w:rsidRDefault="00CF449E">
      <w:pPr>
        <w:spacing w:line="360" w:lineRule="auto"/>
        <w:ind w:firstLineChars="200" w:firstLine="560"/>
        <w:rPr>
          <w:rFonts w:ascii="仿宋_GB2312" w:eastAsia="仿宋_GB2312"/>
          <w:sz w:val="28"/>
          <w:szCs w:val="28"/>
        </w:rPr>
      </w:pPr>
      <w:r>
        <w:rPr>
          <w:rFonts w:ascii="仿宋_GB2312" w:eastAsia="仿宋_GB2312" w:hint="eastAsia"/>
          <w:sz w:val="28"/>
          <w:szCs w:val="28"/>
        </w:rPr>
        <w:t>2019年6月，为规范和推进杭州市公共建筑能效提升重点城市建设，利用地方政府的组织管理优势，发挥财政资金的激励引导作用，促进建筑节能产业的可持续发展，根据《住房城乡建设部办公厅、银监会办公厅关于批复2017年公共建筑能效提升重点城市建设方案的通知》（</w:t>
      </w:r>
      <w:proofErr w:type="gramStart"/>
      <w:r>
        <w:rPr>
          <w:rFonts w:ascii="仿宋_GB2312" w:eastAsia="仿宋_GB2312" w:hint="eastAsia"/>
          <w:sz w:val="28"/>
          <w:szCs w:val="28"/>
        </w:rPr>
        <w:t>建办科〔2017〕</w:t>
      </w:r>
      <w:proofErr w:type="gramEnd"/>
      <w:r>
        <w:rPr>
          <w:rFonts w:ascii="仿宋_GB2312" w:eastAsia="仿宋_GB2312" w:hint="eastAsia"/>
          <w:sz w:val="28"/>
          <w:szCs w:val="28"/>
        </w:rPr>
        <w:t>72号）任务要求，结合杭州市工作实际，杭州市人民政府办公厅印发了《杭州市公共建筑能效提升重点城市建设实施方案》（以下简称《实施方案》），明确“全市到2020年年底前完成公共建筑节能改造项目面积不少于240万平方米，项目平均节能比例不低于15%，通过合同能源管理模式实施的节能改造项目不低于40%。”的任务目标，同时要求构建公共建筑节能改造技术服务体系、完善公共建筑节能改造市场机制、强化公共建筑用能监管、新建公共建筑严格执行节能标准和绿色建筑标准等，由市建委负责组织牵头实施，各相关部门联动，共同推进公共建筑能效提升重点城市建设。</w:t>
      </w:r>
    </w:p>
    <w:p w:rsidR="00BE1972" w:rsidRDefault="00BE1972">
      <w:pPr>
        <w:pStyle w:val="a7"/>
        <w:widowControl/>
        <w:spacing w:beforeAutospacing="0" w:afterAutospacing="0" w:line="420" w:lineRule="atLeast"/>
        <w:ind w:firstLineChars="200" w:firstLine="560"/>
        <w:rPr>
          <w:rFonts w:ascii="仿宋_GB2312" w:eastAsia="仿宋_GB2312" w:cstheme="minorBidi"/>
          <w:kern w:val="2"/>
          <w:sz w:val="28"/>
          <w:szCs w:val="28"/>
        </w:rPr>
      </w:pPr>
    </w:p>
    <w:p w:rsidR="00BE1972" w:rsidRDefault="00CF449E">
      <w:pPr>
        <w:pStyle w:val="1"/>
        <w:ind w:firstLineChars="200" w:firstLine="643"/>
        <w:rPr>
          <w:rFonts w:ascii="仿宋_GB2312" w:eastAsia="仿宋_GB2312"/>
          <w:bCs w:val="0"/>
          <w:sz w:val="32"/>
          <w:szCs w:val="32"/>
        </w:rPr>
      </w:pPr>
      <w:bookmarkStart w:id="2" w:name="_Toc12720"/>
      <w:r>
        <w:rPr>
          <w:rFonts w:ascii="仿宋_GB2312" w:eastAsia="仿宋_GB2312" w:hint="eastAsia"/>
          <w:sz w:val="32"/>
          <w:szCs w:val="32"/>
        </w:rPr>
        <w:t>二、实施情况评估</w:t>
      </w:r>
      <w:bookmarkEnd w:id="2"/>
    </w:p>
    <w:p w:rsidR="00BE1972" w:rsidRDefault="00CF449E">
      <w:pPr>
        <w:pStyle w:val="2"/>
        <w:ind w:firstLineChars="200" w:firstLine="643"/>
        <w:rPr>
          <w:rFonts w:ascii="仿宋_GB2312" w:eastAsia="仿宋_GB2312"/>
          <w:b w:val="0"/>
        </w:rPr>
      </w:pPr>
      <w:bookmarkStart w:id="3" w:name="_Toc22404"/>
      <w:r>
        <w:rPr>
          <w:rFonts w:ascii="仿宋_GB2312" w:eastAsia="仿宋_GB2312" w:hint="eastAsia"/>
        </w:rPr>
        <w:t>（一）工作任务完成情况</w:t>
      </w:r>
      <w:bookmarkEnd w:id="3"/>
    </w:p>
    <w:p w:rsidR="00BE1972" w:rsidRDefault="00CF449E">
      <w:pPr>
        <w:spacing w:line="360" w:lineRule="auto"/>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1、超额完成公共建筑节能改造任务</w:t>
      </w:r>
    </w:p>
    <w:p w:rsidR="00BE1972" w:rsidRDefault="00CF449E">
      <w:pPr>
        <w:spacing w:line="360" w:lineRule="auto"/>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截至2020年11月，已完成49个能效提升节能改造示范项目立项，折算面积306.70万平方米，为任务总量的128%。其中28个改造项目全部或部分采用合同能源管理模式，共计175.04万平方米，为总面积的57%，达到了“240万平方米中通过合同能源管理实施的改造面积不少于40%”的总体任务要求。</w:t>
      </w:r>
    </w:p>
    <w:p w:rsidR="00BE1972" w:rsidRDefault="00CF449E">
      <w:pPr>
        <w:spacing w:line="360" w:lineRule="auto"/>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2、注重政策体系建设，建立技术支撑体系</w:t>
      </w:r>
    </w:p>
    <w:p w:rsidR="00BE1972" w:rsidRDefault="00CF449E">
      <w:pPr>
        <w:spacing w:line="360" w:lineRule="auto"/>
        <w:ind w:firstLine="480"/>
        <w:rPr>
          <w:rFonts w:ascii="仿宋_GB2312" w:eastAsia="仿宋_GB2312"/>
          <w:sz w:val="28"/>
          <w:szCs w:val="28"/>
        </w:rPr>
      </w:pPr>
      <w:r>
        <w:rPr>
          <w:rFonts w:ascii="仿宋_GB2312" w:eastAsia="仿宋_GB2312" w:hint="eastAsia"/>
          <w:b/>
          <w:bCs/>
          <w:sz w:val="28"/>
          <w:szCs w:val="28"/>
        </w:rPr>
        <w:t>制定完善的政策体系。</w:t>
      </w:r>
      <w:r>
        <w:rPr>
          <w:rFonts w:ascii="仿宋_GB2312" w:eastAsia="仿宋_GB2312" w:hint="eastAsia"/>
          <w:sz w:val="28"/>
          <w:szCs w:val="28"/>
        </w:rPr>
        <w:t>为建立公共建筑节能改造体制和机制，并规范流程，杭州市非常注重公共建筑节能改造制度的建设，先后制定发布了一系列管理文件，具体有：</w:t>
      </w:r>
    </w:p>
    <w:p w:rsidR="00BE1972" w:rsidRDefault="00CF449E">
      <w:pPr>
        <w:spacing w:line="360" w:lineRule="auto"/>
        <w:ind w:firstLine="480"/>
        <w:rPr>
          <w:rFonts w:ascii="仿宋_GB2312" w:eastAsia="仿宋_GB2312"/>
          <w:sz w:val="28"/>
          <w:szCs w:val="28"/>
        </w:rPr>
      </w:pPr>
      <w:r>
        <w:rPr>
          <w:rFonts w:ascii="仿宋_GB2312" w:eastAsia="仿宋_GB2312" w:hint="eastAsia"/>
          <w:sz w:val="28"/>
          <w:szCs w:val="28"/>
        </w:rPr>
        <w:t>2019年6月，市建委会同</w:t>
      </w:r>
      <w:proofErr w:type="gramStart"/>
      <w:r>
        <w:rPr>
          <w:rFonts w:ascii="仿宋_GB2312" w:eastAsia="仿宋_GB2312" w:hint="eastAsia"/>
          <w:sz w:val="28"/>
          <w:szCs w:val="28"/>
        </w:rPr>
        <w:t>市发改委</w:t>
      </w:r>
      <w:proofErr w:type="gramEnd"/>
      <w:r>
        <w:rPr>
          <w:rFonts w:ascii="仿宋_GB2312" w:eastAsia="仿宋_GB2312" w:hint="eastAsia"/>
          <w:sz w:val="28"/>
          <w:szCs w:val="28"/>
        </w:rPr>
        <w:t>、市机关事务管理局印发“关于印发《杭州市公共建筑能效提升示范项目管理办法》的通知（杭建科[2019]74号）”，规定了职责分工、示范项目的申报与实施、资金扶持等内容，规范示范项目建设的实施步骤。</w:t>
      </w:r>
    </w:p>
    <w:p w:rsidR="00BE1972" w:rsidRDefault="00CF449E">
      <w:pPr>
        <w:spacing w:line="360" w:lineRule="auto"/>
        <w:ind w:firstLine="480"/>
        <w:rPr>
          <w:rFonts w:ascii="仿宋_GB2312" w:eastAsia="仿宋_GB2312"/>
          <w:sz w:val="28"/>
          <w:szCs w:val="28"/>
        </w:rPr>
      </w:pPr>
      <w:r>
        <w:rPr>
          <w:rFonts w:ascii="仿宋_GB2312" w:eastAsia="仿宋_GB2312" w:hint="eastAsia"/>
          <w:sz w:val="28"/>
          <w:szCs w:val="28"/>
        </w:rPr>
        <w:t>2019年6月，市建委会同市财政局关于印发《杭州市公共建筑能效提升专项补助资金管理暂行办法》的通知（杭建科[2019]83号），明确市、区县（市）财政部门对政府投资示范项目的改造资金予以支持，对社会投资示范项目实行资金奖励。</w:t>
      </w:r>
    </w:p>
    <w:p w:rsidR="00BE1972" w:rsidRDefault="00CF449E">
      <w:pPr>
        <w:spacing w:line="360" w:lineRule="auto"/>
        <w:ind w:firstLine="480"/>
        <w:rPr>
          <w:rFonts w:ascii="仿宋_GB2312" w:eastAsia="仿宋_GB2312"/>
          <w:b/>
          <w:bCs/>
          <w:sz w:val="28"/>
          <w:szCs w:val="28"/>
        </w:rPr>
      </w:pPr>
      <w:r>
        <w:rPr>
          <w:rFonts w:ascii="仿宋_GB2312" w:eastAsia="仿宋_GB2312" w:hint="eastAsia"/>
          <w:b/>
          <w:bCs/>
          <w:sz w:val="28"/>
          <w:szCs w:val="28"/>
        </w:rPr>
        <w:t>构建完整的技术体系。</w:t>
      </w:r>
      <w:r>
        <w:rPr>
          <w:rFonts w:ascii="仿宋_GB2312" w:eastAsia="仿宋_GB2312" w:hint="eastAsia"/>
          <w:sz w:val="28"/>
          <w:szCs w:val="28"/>
        </w:rPr>
        <w:t>为保障改造项目的实施质量和节能效果，确保示范品质，杭州市先后制定了改造指南、能源审计导则和节能量核定导则等一系列技术文件，为公共建筑节能改造重点城市建设提供技术支撑，具体有：</w:t>
      </w:r>
    </w:p>
    <w:p w:rsidR="00BE1972" w:rsidRDefault="00CF449E">
      <w:pPr>
        <w:spacing w:line="360" w:lineRule="auto"/>
        <w:ind w:firstLine="480"/>
        <w:rPr>
          <w:rFonts w:ascii="仿宋_GB2312" w:eastAsia="仿宋_GB2312"/>
          <w:sz w:val="28"/>
          <w:szCs w:val="28"/>
        </w:rPr>
      </w:pPr>
      <w:r>
        <w:rPr>
          <w:rFonts w:ascii="仿宋_GB2312" w:eastAsia="仿宋_GB2312" w:hint="eastAsia"/>
          <w:sz w:val="28"/>
          <w:szCs w:val="28"/>
        </w:rPr>
        <w:t>2019年6月，市建委、</w:t>
      </w:r>
      <w:proofErr w:type="gramStart"/>
      <w:r>
        <w:rPr>
          <w:rFonts w:ascii="仿宋_GB2312" w:eastAsia="仿宋_GB2312" w:hint="eastAsia"/>
          <w:sz w:val="28"/>
          <w:szCs w:val="28"/>
        </w:rPr>
        <w:t>市发改委</w:t>
      </w:r>
      <w:proofErr w:type="gramEnd"/>
      <w:r>
        <w:rPr>
          <w:rFonts w:ascii="仿宋_GB2312" w:eastAsia="仿宋_GB2312" w:hint="eastAsia"/>
          <w:sz w:val="28"/>
          <w:szCs w:val="28"/>
        </w:rPr>
        <w:t>、市机关事务管理局印发</w:t>
      </w:r>
      <w:proofErr w:type="gramStart"/>
      <w:r>
        <w:rPr>
          <w:rFonts w:ascii="仿宋_GB2312" w:eastAsia="仿宋_GB2312" w:hint="eastAsia"/>
          <w:sz w:val="28"/>
          <w:szCs w:val="28"/>
        </w:rPr>
        <w:t>“</w:t>
      </w:r>
      <w:proofErr w:type="gramEnd"/>
      <w:r>
        <w:rPr>
          <w:rFonts w:ascii="仿宋_GB2312" w:eastAsia="仿宋_GB2312" w:hint="eastAsia"/>
          <w:sz w:val="28"/>
          <w:szCs w:val="28"/>
        </w:rPr>
        <w:t>关于印发《杭州市公共建筑节能改造技术指南》的通知（杭建科[2019]73号），市建委发布“关于印发《杭州市公共建筑能效提升示范项目节能量核定导则》的通知（杭建科[2019]182号）”和“关于印发《杭州市公共建筑能效提升示范项目能源审计导则》的通知（杭建科[2019]183号）”等技术文件，指导开展能源审计、节能量核定等工作。</w:t>
      </w:r>
    </w:p>
    <w:p w:rsidR="00BE1972" w:rsidRDefault="00CF449E">
      <w:pPr>
        <w:spacing w:line="360" w:lineRule="auto"/>
        <w:ind w:firstLineChars="200" w:firstLine="562"/>
        <w:rPr>
          <w:rFonts w:ascii="仿宋_GB2312" w:eastAsia="仿宋_GB2312"/>
          <w:sz w:val="28"/>
          <w:szCs w:val="28"/>
        </w:rPr>
      </w:pPr>
      <w:r>
        <w:rPr>
          <w:rFonts w:ascii="仿宋_GB2312" w:eastAsia="仿宋_GB2312" w:hint="eastAsia"/>
          <w:b/>
          <w:bCs/>
          <w:sz w:val="28"/>
          <w:szCs w:val="28"/>
        </w:rPr>
        <w:t>总结技术成果和经验。</w:t>
      </w:r>
      <w:r>
        <w:rPr>
          <w:rFonts w:ascii="仿宋_GB2312" w:eastAsia="仿宋_GB2312" w:hint="eastAsia"/>
          <w:sz w:val="28"/>
          <w:szCs w:val="28"/>
        </w:rPr>
        <w:t>为总结公共建筑能效提升示范项目的技术成果，推广经验，杭州市组织开展了《杭州地区公共建筑节能改造适宜技术和产品目录》编制和案例汇编，针对杭州市气候特点、经济条件和公共建筑类型功能需求，完善和优化了能效提升技术路线。</w:t>
      </w:r>
    </w:p>
    <w:p w:rsidR="00BE1972" w:rsidRDefault="00CF449E">
      <w:pPr>
        <w:spacing w:line="360" w:lineRule="auto"/>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3、建立公共建筑节能改造市场机制</w:t>
      </w:r>
    </w:p>
    <w:p w:rsidR="00BE1972" w:rsidRDefault="00CF449E">
      <w:pPr>
        <w:spacing w:line="360" w:lineRule="auto"/>
        <w:ind w:firstLineChars="200" w:firstLine="562"/>
        <w:rPr>
          <w:rFonts w:ascii="仿宋_GB2312" w:eastAsia="仿宋_GB2312"/>
          <w:color w:val="000000" w:themeColor="text1"/>
          <w:sz w:val="28"/>
          <w:szCs w:val="28"/>
        </w:rPr>
      </w:pPr>
      <w:r>
        <w:rPr>
          <w:rFonts w:ascii="仿宋_GB2312" w:eastAsia="仿宋_GB2312" w:hint="eastAsia"/>
          <w:b/>
          <w:bCs/>
          <w:sz w:val="28"/>
          <w:szCs w:val="28"/>
        </w:rPr>
        <w:t>推行合同能源管理模式。</w:t>
      </w:r>
      <w:r>
        <w:rPr>
          <w:rFonts w:ascii="仿宋_GB2312" w:eastAsia="仿宋_GB2312" w:hint="eastAsia"/>
          <w:sz w:val="28"/>
          <w:szCs w:val="28"/>
        </w:rPr>
        <w:t>遵循“重点推行合同能源管理模式实施节能改造，营造有利于节能产业发展的市场环境”的工作原则，各区县（市）在发动征集示范项目中鼓励改造项目采用合同能源管理模式，市场化的合同能源管理改造模式逐步得到发展，49个已立项示范项目中有28个改造项目全部或部分采用合同能源管理模式，共计</w:t>
      </w:r>
      <w:r>
        <w:rPr>
          <w:rFonts w:ascii="仿宋_GB2312" w:eastAsia="仿宋_GB2312" w:hint="eastAsia"/>
          <w:color w:val="000000" w:themeColor="text1"/>
          <w:sz w:val="28"/>
          <w:szCs w:val="28"/>
        </w:rPr>
        <w:t>175.04</w:t>
      </w:r>
      <w:r>
        <w:rPr>
          <w:rFonts w:ascii="仿宋_GB2312" w:eastAsia="仿宋_GB2312" w:hint="eastAsia"/>
          <w:sz w:val="28"/>
          <w:szCs w:val="28"/>
        </w:rPr>
        <w:t>万平方米。</w:t>
      </w:r>
      <w:r>
        <w:rPr>
          <w:rFonts w:ascii="仿宋_GB2312" w:eastAsia="仿宋_GB2312" w:hint="eastAsia"/>
          <w:color w:val="000000" w:themeColor="text1"/>
          <w:sz w:val="28"/>
          <w:szCs w:val="28"/>
        </w:rPr>
        <w:t>同时，实施第三方机构评价机制，各区、县（市）政府、管委会按照“公平、公正、择优”的原则，引进第三方节能量核定机构负责辖区内示范项目的能源审计和节能量核定工作，提高示范项目实施质量，确保达到项目节能率要求。</w:t>
      </w:r>
    </w:p>
    <w:p w:rsidR="00BE1972" w:rsidRDefault="00CF449E">
      <w:pPr>
        <w:spacing w:line="360" w:lineRule="auto"/>
        <w:ind w:firstLine="480"/>
        <w:rPr>
          <w:rFonts w:ascii="仿宋_GB2312" w:eastAsia="仿宋_GB2312"/>
          <w:sz w:val="28"/>
          <w:szCs w:val="28"/>
        </w:rPr>
      </w:pPr>
      <w:r>
        <w:rPr>
          <w:rFonts w:ascii="仿宋_GB2312" w:eastAsia="仿宋_GB2312" w:hint="eastAsia"/>
          <w:b/>
          <w:bCs/>
          <w:sz w:val="28"/>
          <w:szCs w:val="28"/>
        </w:rPr>
        <w:t>积极探索碳排放交易权。</w:t>
      </w:r>
      <w:r>
        <w:rPr>
          <w:rFonts w:ascii="仿宋_GB2312" w:eastAsia="仿宋_GB2312" w:hint="eastAsia"/>
          <w:sz w:val="28"/>
          <w:szCs w:val="28"/>
        </w:rPr>
        <w:t>市生态环境局重点研究公共建筑节能改造纳入</w:t>
      </w:r>
      <w:proofErr w:type="gramStart"/>
      <w:r>
        <w:rPr>
          <w:rFonts w:ascii="仿宋_GB2312" w:eastAsia="仿宋_GB2312" w:hint="eastAsia"/>
          <w:sz w:val="28"/>
          <w:szCs w:val="28"/>
        </w:rPr>
        <w:t>全国碳排放权</w:t>
      </w:r>
      <w:proofErr w:type="gramEnd"/>
      <w:r>
        <w:rPr>
          <w:rFonts w:ascii="仿宋_GB2312" w:eastAsia="仿宋_GB2312" w:hint="eastAsia"/>
          <w:sz w:val="28"/>
          <w:szCs w:val="28"/>
        </w:rPr>
        <w:t>交易市场工作，多次组织专家咨询会和内部专题讨论会，并实地调研公共建筑节能改造类核证自愿减排量项目（简称CCER），收集整理公共建筑节能改造类核证自愿减排量项目方法学7大类，初步形成了我市公共建筑节能改造类核证自愿减排量开发的项目备案思路。</w:t>
      </w:r>
    </w:p>
    <w:p w:rsidR="00BE1972" w:rsidRDefault="00CF449E">
      <w:pPr>
        <w:spacing w:line="360" w:lineRule="auto"/>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4、公共建筑用能监管建设不断加强</w:t>
      </w:r>
    </w:p>
    <w:p w:rsidR="00BE1972" w:rsidRDefault="00CF449E">
      <w:pPr>
        <w:spacing w:line="360" w:lineRule="auto"/>
        <w:ind w:firstLine="480"/>
        <w:rPr>
          <w:rFonts w:ascii="仿宋_GB2312" w:eastAsia="仿宋_GB2312"/>
          <w:sz w:val="28"/>
          <w:szCs w:val="28"/>
        </w:rPr>
      </w:pPr>
      <w:r>
        <w:rPr>
          <w:rFonts w:ascii="仿宋_GB2312" w:eastAsia="仿宋_GB2312" w:hint="eastAsia"/>
          <w:b/>
          <w:bCs/>
          <w:sz w:val="28"/>
          <w:szCs w:val="28"/>
        </w:rPr>
        <w:t>完善市建筑节能信息管理平台。</w:t>
      </w:r>
      <w:r>
        <w:rPr>
          <w:rFonts w:ascii="仿宋_GB2312" w:eastAsia="仿宋_GB2312" w:hint="eastAsia"/>
          <w:sz w:val="28"/>
          <w:szCs w:val="28"/>
        </w:rPr>
        <w:t>为发挥信息平台作用，杭州市组织编制了《杭州市新建民用建筑能耗监测系统实施指南（试行）》，对建设、设计、节能评估、施工等单位操作行为进行规范，并进行了能耗监管系统三期平台建设，新增对新建国家机关办公建筑和大型公共建筑能耗监测系统建设情况实地核</w:t>
      </w:r>
      <w:proofErr w:type="gramStart"/>
      <w:r>
        <w:rPr>
          <w:rFonts w:ascii="仿宋_GB2312" w:eastAsia="仿宋_GB2312" w:hint="eastAsia"/>
          <w:sz w:val="28"/>
          <w:szCs w:val="28"/>
        </w:rPr>
        <w:t>验</w:t>
      </w:r>
      <w:proofErr w:type="gramEnd"/>
      <w:r>
        <w:rPr>
          <w:rFonts w:ascii="仿宋_GB2312" w:eastAsia="仿宋_GB2312" w:hint="eastAsia"/>
          <w:sz w:val="28"/>
          <w:szCs w:val="28"/>
        </w:rPr>
        <w:t>步骤，对平台监测项目开发异常报警、能耗对标、能耗统计、能耗公示、能耗评价等系统功能。</w:t>
      </w:r>
    </w:p>
    <w:p w:rsidR="00BE1972" w:rsidRDefault="00CF449E">
      <w:pPr>
        <w:spacing w:line="360" w:lineRule="auto"/>
        <w:ind w:firstLineChars="200" w:firstLine="560"/>
        <w:rPr>
          <w:rFonts w:ascii="仿宋_GB2312" w:eastAsia="仿宋_GB2312"/>
          <w:sz w:val="28"/>
          <w:szCs w:val="28"/>
        </w:rPr>
      </w:pPr>
      <w:r>
        <w:rPr>
          <w:rFonts w:ascii="仿宋_GB2312" w:eastAsia="仿宋_GB2312" w:hint="eastAsia"/>
          <w:sz w:val="28"/>
          <w:szCs w:val="28"/>
        </w:rPr>
        <w:t>《杭州市公共建筑能效提升示范项目管理办法》明确规定：“申报项目改造后需按照《浙江省公共建筑用电分项计量系统设计标准》（DB33/1090-2017)的要求，同步设计、安装建筑能耗监测系统，并在项目竣工验收前接入并上传至杭州市建筑节能管理平台。”依托杭州市建筑节能信息管理平台目前累计接入项目814个，2016-2019年累计完成公共建筑能耗统计4660幢。</w:t>
      </w:r>
    </w:p>
    <w:p w:rsidR="00BE1972" w:rsidRDefault="00CF449E">
      <w:pPr>
        <w:spacing w:line="360" w:lineRule="auto"/>
        <w:ind w:firstLineChars="200" w:firstLine="562"/>
        <w:rPr>
          <w:rFonts w:ascii="仿宋_GB2312" w:eastAsia="仿宋_GB2312"/>
          <w:sz w:val="28"/>
          <w:szCs w:val="28"/>
        </w:rPr>
      </w:pPr>
      <w:r>
        <w:rPr>
          <w:rFonts w:ascii="仿宋_GB2312" w:eastAsia="仿宋_GB2312" w:hint="eastAsia"/>
          <w:b/>
          <w:bCs/>
          <w:sz w:val="28"/>
          <w:szCs w:val="28"/>
        </w:rPr>
        <w:t>研究建立能耗限额管理机制。</w:t>
      </w:r>
      <w:r>
        <w:rPr>
          <w:rFonts w:ascii="仿宋_GB2312" w:eastAsia="仿宋_GB2312" w:hint="eastAsia"/>
          <w:sz w:val="28"/>
          <w:szCs w:val="28"/>
        </w:rPr>
        <w:t>2020年,</w:t>
      </w:r>
      <w:proofErr w:type="gramStart"/>
      <w:r>
        <w:rPr>
          <w:rFonts w:ascii="仿宋_GB2312" w:eastAsia="仿宋_GB2312" w:hint="eastAsia"/>
          <w:sz w:val="28"/>
          <w:szCs w:val="28"/>
        </w:rPr>
        <w:t>市发改委</w:t>
      </w:r>
      <w:proofErr w:type="gramEnd"/>
      <w:r>
        <w:rPr>
          <w:rFonts w:ascii="仿宋_GB2312" w:eastAsia="仿宋_GB2312" w:hint="eastAsia"/>
          <w:sz w:val="28"/>
          <w:szCs w:val="28"/>
        </w:rPr>
        <w:t>、市建委启动公共建筑能耗标准研究工作，成立课题研究工作组，确定将商业综合体能耗作为公共建筑能耗标准研究的重点方向，为我市能源主管部门下一步出台限额标准提供支撑。</w:t>
      </w:r>
    </w:p>
    <w:p w:rsidR="00BE1972" w:rsidRDefault="00CF449E">
      <w:pPr>
        <w:spacing w:line="360" w:lineRule="auto"/>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5、新建公共建筑严格执行节能标准和绿色建筑标准</w:t>
      </w:r>
    </w:p>
    <w:p w:rsidR="00BE1972" w:rsidRDefault="00CF449E">
      <w:pPr>
        <w:ind w:firstLineChars="200" w:firstLine="560"/>
        <w:rPr>
          <w:rFonts w:ascii="仿宋_GB2312" w:eastAsia="仿宋_GB2312"/>
          <w:sz w:val="28"/>
          <w:szCs w:val="28"/>
        </w:rPr>
      </w:pPr>
      <w:r>
        <w:rPr>
          <w:rFonts w:ascii="仿宋_GB2312" w:eastAsia="仿宋_GB2312" w:hAnsiTheme="minorEastAsia" w:hint="eastAsia"/>
          <w:color w:val="000000" w:themeColor="text1"/>
          <w:sz w:val="28"/>
          <w:szCs w:val="28"/>
        </w:rPr>
        <w:t>2016年5月1日起，杭州市全面执行《浙江省建筑绿色条例》，绿色建筑占新建建筑的比例达到100%。</w:t>
      </w:r>
      <w:r>
        <w:rPr>
          <w:rFonts w:ascii="仿宋_GB2312" w:eastAsia="仿宋_GB2312" w:hint="eastAsia"/>
          <w:sz w:val="28"/>
          <w:szCs w:val="28"/>
        </w:rPr>
        <w:t>市、区县（市）建设行政主管部门严格规范新建公共建筑项目的绿色节能设计、节能评估、图审和施工，《浙江省绿色建筑条例》、《公共建筑节能设计标准》、《浙江省绿色建筑设计标准》以及市、区两级绿色建筑专项规划得到有效落实。市、区县（市）规划部门在用地规划许可阶段提出项目绿色建筑等级要求，建设行政主管部门在节能审查阶段对照绿色建筑专项规划要求核实绿色建筑等级，能评机构对施工图设计是否符合绿色和节能强制性标准进行评估，施工图审查进行复核后出具图审合格意见。</w:t>
      </w:r>
    </w:p>
    <w:p w:rsidR="00BE1972" w:rsidRDefault="00CF449E">
      <w:pPr>
        <w:spacing w:line="360" w:lineRule="auto"/>
        <w:ind w:firstLineChars="200" w:firstLine="560"/>
        <w:rPr>
          <w:rFonts w:ascii="仿宋_GB2312" w:eastAsia="仿宋_GB2312"/>
          <w:color w:val="FF0000"/>
          <w:sz w:val="28"/>
          <w:szCs w:val="28"/>
        </w:rPr>
      </w:pPr>
      <w:r>
        <w:rPr>
          <w:rFonts w:ascii="仿宋_GB2312" w:eastAsia="仿宋_GB2312" w:hint="eastAsia"/>
          <w:sz w:val="28"/>
          <w:szCs w:val="28"/>
        </w:rPr>
        <w:t>《实施方案》执行期间，经统计2019年至2020年11月，杭州市通过施工图审查并网上生成《民用建筑节能审查意见书》的项目共有975项，总建筑面积9611万平方米，具体情况如下表：</w:t>
      </w:r>
      <w:r>
        <w:rPr>
          <w:rFonts w:ascii="仿宋_GB2312" w:eastAsia="仿宋_GB2312"/>
          <w:color w:val="FF0000"/>
          <w:sz w:val="28"/>
          <w:szCs w:val="28"/>
        </w:rPr>
        <w:t xml:space="preserve"> </w:t>
      </w:r>
    </w:p>
    <w:tbl>
      <w:tblPr>
        <w:tblStyle w:val="a8"/>
        <w:tblpPr w:leftFromText="180" w:rightFromText="180" w:vertAnchor="text" w:tblpXSpec="center" w:tblpY="1"/>
        <w:tblOverlap w:val="never"/>
        <w:tblW w:w="8930" w:type="dxa"/>
        <w:jc w:val="center"/>
        <w:tblLayout w:type="fixed"/>
        <w:tblLook w:val="04A0" w:firstRow="1" w:lastRow="0" w:firstColumn="1" w:lastColumn="0" w:noHBand="0" w:noVBand="1"/>
      </w:tblPr>
      <w:tblGrid>
        <w:gridCol w:w="1121"/>
        <w:gridCol w:w="841"/>
        <w:gridCol w:w="1121"/>
        <w:gridCol w:w="897"/>
        <w:gridCol w:w="990"/>
        <w:gridCol w:w="1035"/>
        <w:gridCol w:w="930"/>
        <w:gridCol w:w="1125"/>
        <w:gridCol w:w="870"/>
      </w:tblGrid>
      <w:tr w:rsidR="00BE1972">
        <w:trPr>
          <w:trHeight w:val="722"/>
          <w:jc w:val="center"/>
        </w:trPr>
        <w:tc>
          <w:tcPr>
            <w:tcW w:w="1121" w:type="dxa"/>
            <w:vMerge w:val="restart"/>
            <w:tcBorders>
              <w:tl2br w:val="single" w:sz="4" w:space="0" w:color="auto"/>
            </w:tcBorders>
            <w:vAlign w:val="center"/>
          </w:tcPr>
          <w:p w:rsidR="00BE1972" w:rsidRDefault="00CF449E">
            <w:pPr>
              <w:rPr>
                <w:rFonts w:ascii="仿宋_GB2312" w:eastAsia="仿宋_GB2312"/>
                <w:sz w:val="24"/>
              </w:rPr>
            </w:pPr>
            <w:r>
              <w:rPr>
                <w:rFonts w:ascii="仿宋_GB2312" w:eastAsia="仿宋_GB2312" w:hint="eastAsia"/>
                <w:sz w:val="24"/>
              </w:rPr>
              <w:t>类别</w:t>
            </w:r>
          </w:p>
          <w:p w:rsidR="00BE1972" w:rsidRDefault="00CF449E">
            <w:pPr>
              <w:rPr>
                <w:rFonts w:ascii="仿宋_GB2312" w:eastAsia="仿宋_GB2312"/>
                <w:sz w:val="24"/>
              </w:rPr>
            </w:pPr>
            <w:r>
              <w:rPr>
                <w:rFonts w:ascii="仿宋_GB2312" w:eastAsia="仿宋_GB2312" w:hint="eastAsia"/>
                <w:sz w:val="24"/>
              </w:rPr>
              <w:t>年份</w:t>
            </w:r>
          </w:p>
        </w:tc>
        <w:tc>
          <w:tcPr>
            <w:tcW w:w="841" w:type="dxa"/>
            <w:vMerge w:val="restart"/>
            <w:vAlign w:val="center"/>
          </w:tcPr>
          <w:p w:rsidR="00BE1972" w:rsidRDefault="00CF449E">
            <w:pPr>
              <w:jc w:val="center"/>
              <w:rPr>
                <w:rFonts w:ascii="仿宋_GB2312" w:eastAsia="仿宋_GB2312"/>
                <w:sz w:val="24"/>
              </w:rPr>
            </w:pPr>
            <w:r>
              <w:rPr>
                <w:rFonts w:ascii="仿宋_GB2312" w:eastAsia="仿宋_GB2312" w:hint="eastAsia"/>
                <w:sz w:val="24"/>
              </w:rPr>
              <w:t>项目总数</w:t>
            </w:r>
          </w:p>
        </w:tc>
        <w:tc>
          <w:tcPr>
            <w:tcW w:w="1121" w:type="dxa"/>
            <w:vMerge w:val="restart"/>
            <w:vAlign w:val="center"/>
          </w:tcPr>
          <w:p w:rsidR="00BE1972" w:rsidRDefault="00CF449E">
            <w:pPr>
              <w:jc w:val="center"/>
              <w:rPr>
                <w:rFonts w:ascii="仿宋_GB2312" w:eastAsia="仿宋_GB2312"/>
                <w:sz w:val="24"/>
              </w:rPr>
            </w:pPr>
            <w:r>
              <w:rPr>
                <w:rFonts w:ascii="仿宋_GB2312" w:eastAsia="仿宋_GB2312" w:hint="eastAsia"/>
                <w:sz w:val="24"/>
              </w:rPr>
              <w:t>建筑</w:t>
            </w:r>
          </w:p>
          <w:p w:rsidR="00BE1972" w:rsidRDefault="00CF449E">
            <w:pPr>
              <w:jc w:val="center"/>
              <w:rPr>
                <w:rFonts w:ascii="仿宋_GB2312" w:eastAsia="仿宋_GB2312"/>
                <w:sz w:val="24"/>
              </w:rPr>
            </w:pPr>
            <w:r>
              <w:rPr>
                <w:rFonts w:ascii="仿宋_GB2312" w:eastAsia="仿宋_GB2312" w:hint="eastAsia"/>
                <w:sz w:val="24"/>
              </w:rPr>
              <w:t>面积</w:t>
            </w:r>
          </w:p>
          <w:p w:rsidR="00BE1972" w:rsidRDefault="00CF449E">
            <w:pPr>
              <w:jc w:val="center"/>
              <w:rPr>
                <w:rFonts w:ascii="仿宋_GB2312" w:eastAsia="仿宋_GB2312"/>
                <w:sz w:val="24"/>
              </w:rPr>
            </w:pPr>
            <w:r>
              <w:rPr>
                <w:rFonts w:ascii="仿宋_GB2312" w:eastAsia="仿宋_GB2312" w:hint="eastAsia"/>
                <w:sz w:val="24"/>
              </w:rPr>
              <w:t>（万㎡）</w:t>
            </w:r>
          </w:p>
        </w:tc>
        <w:tc>
          <w:tcPr>
            <w:tcW w:w="2922" w:type="dxa"/>
            <w:gridSpan w:val="3"/>
            <w:vAlign w:val="center"/>
          </w:tcPr>
          <w:p w:rsidR="00BE1972" w:rsidRDefault="00CF449E">
            <w:pPr>
              <w:jc w:val="center"/>
              <w:rPr>
                <w:rFonts w:ascii="仿宋_GB2312" w:eastAsia="仿宋_GB2312"/>
                <w:sz w:val="24"/>
              </w:rPr>
            </w:pPr>
            <w:r>
              <w:rPr>
                <w:rFonts w:ascii="仿宋_GB2312" w:eastAsia="仿宋_GB2312" w:hint="eastAsia"/>
                <w:sz w:val="24"/>
              </w:rPr>
              <w:t>其中二星级</w:t>
            </w:r>
          </w:p>
        </w:tc>
        <w:tc>
          <w:tcPr>
            <w:tcW w:w="2925" w:type="dxa"/>
            <w:gridSpan w:val="3"/>
            <w:vAlign w:val="center"/>
          </w:tcPr>
          <w:p w:rsidR="00BE1972" w:rsidRDefault="00CF449E">
            <w:pPr>
              <w:jc w:val="center"/>
              <w:rPr>
                <w:rFonts w:ascii="仿宋_GB2312" w:eastAsia="仿宋_GB2312"/>
                <w:sz w:val="24"/>
              </w:rPr>
            </w:pPr>
            <w:r>
              <w:rPr>
                <w:rFonts w:ascii="仿宋_GB2312" w:eastAsia="仿宋_GB2312" w:hint="eastAsia"/>
                <w:sz w:val="24"/>
              </w:rPr>
              <w:t>其中三星级</w:t>
            </w:r>
          </w:p>
        </w:tc>
      </w:tr>
      <w:tr w:rsidR="00BE1972">
        <w:trPr>
          <w:trHeight w:val="722"/>
          <w:jc w:val="center"/>
        </w:trPr>
        <w:tc>
          <w:tcPr>
            <w:tcW w:w="1121" w:type="dxa"/>
            <w:vMerge/>
            <w:tcBorders>
              <w:tl2br w:val="single" w:sz="4" w:space="0" w:color="auto"/>
            </w:tcBorders>
            <w:vAlign w:val="center"/>
          </w:tcPr>
          <w:p w:rsidR="00BE1972" w:rsidRDefault="00BE1972">
            <w:pPr>
              <w:rPr>
                <w:rFonts w:ascii="仿宋_GB2312" w:eastAsia="仿宋_GB2312"/>
                <w:sz w:val="24"/>
              </w:rPr>
            </w:pPr>
          </w:p>
        </w:tc>
        <w:tc>
          <w:tcPr>
            <w:tcW w:w="841" w:type="dxa"/>
            <w:vMerge/>
            <w:vAlign w:val="center"/>
          </w:tcPr>
          <w:p w:rsidR="00BE1972" w:rsidRDefault="00BE1972">
            <w:pPr>
              <w:jc w:val="center"/>
              <w:rPr>
                <w:rFonts w:ascii="仿宋_GB2312" w:eastAsia="仿宋_GB2312"/>
                <w:sz w:val="24"/>
              </w:rPr>
            </w:pPr>
          </w:p>
        </w:tc>
        <w:tc>
          <w:tcPr>
            <w:tcW w:w="1121" w:type="dxa"/>
            <w:vMerge/>
            <w:vAlign w:val="center"/>
          </w:tcPr>
          <w:p w:rsidR="00BE1972" w:rsidRDefault="00BE1972">
            <w:pPr>
              <w:jc w:val="center"/>
              <w:rPr>
                <w:rFonts w:ascii="仿宋_GB2312" w:eastAsia="仿宋_GB2312"/>
                <w:sz w:val="24"/>
              </w:rPr>
            </w:pPr>
          </w:p>
        </w:tc>
        <w:tc>
          <w:tcPr>
            <w:tcW w:w="897" w:type="dxa"/>
            <w:vAlign w:val="center"/>
          </w:tcPr>
          <w:p w:rsidR="00BE1972" w:rsidRDefault="00CF449E">
            <w:pPr>
              <w:jc w:val="center"/>
              <w:rPr>
                <w:rFonts w:ascii="仿宋_GB2312" w:eastAsia="仿宋_GB2312"/>
                <w:sz w:val="24"/>
              </w:rPr>
            </w:pPr>
            <w:r>
              <w:rPr>
                <w:rFonts w:ascii="仿宋_GB2312" w:eastAsia="仿宋_GB2312" w:hint="eastAsia"/>
                <w:sz w:val="24"/>
              </w:rPr>
              <w:t>项目数</w:t>
            </w:r>
          </w:p>
        </w:tc>
        <w:tc>
          <w:tcPr>
            <w:tcW w:w="990" w:type="dxa"/>
            <w:vAlign w:val="center"/>
          </w:tcPr>
          <w:p w:rsidR="00BE1972" w:rsidRDefault="00CF449E">
            <w:pPr>
              <w:jc w:val="center"/>
              <w:rPr>
                <w:rFonts w:ascii="仿宋_GB2312" w:eastAsia="仿宋_GB2312"/>
                <w:sz w:val="24"/>
              </w:rPr>
            </w:pPr>
            <w:r>
              <w:rPr>
                <w:rFonts w:ascii="仿宋_GB2312" w:eastAsia="仿宋_GB2312" w:hint="eastAsia"/>
                <w:sz w:val="24"/>
              </w:rPr>
              <w:t>建筑面积（万㎡）</w:t>
            </w:r>
          </w:p>
        </w:tc>
        <w:tc>
          <w:tcPr>
            <w:tcW w:w="1035" w:type="dxa"/>
            <w:vAlign w:val="center"/>
          </w:tcPr>
          <w:p w:rsidR="00BE1972" w:rsidRDefault="00CF449E">
            <w:pPr>
              <w:jc w:val="center"/>
              <w:rPr>
                <w:rFonts w:ascii="仿宋_GB2312" w:eastAsia="仿宋_GB2312"/>
                <w:sz w:val="24"/>
              </w:rPr>
            </w:pPr>
            <w:r>
              <w:rPr>
                <w:rFonts w:ascii="仿宋_GB2312" w:eastAsia="仿宋_GB2312" w:hint="eastAsia"/>
                <w:sz w:val="24"/>
              </w:rPr>
              <w:t>面积占比（%）</w:t>
            </w:r>
          </w:p>
        </w:tc>
        <w:tc>
          <w:tcPr>
            <w:tcW w:w="930" w:type="dxa"/>
            <w:vAlign w:val="center"/>
          </w:tcPr>
          <w:p w:rsidR="00BE1972" w:rsidRDefault="00CF449E">
            <w:pPr>
              <w:jc w:val="center"/>
              <w:rPr>
                <w:rFonts w:ascii="仿宋_GB2312" w:eastAsia="仿宋_GB2312"/>
                <w:sz w:val="24"/>
              </w:rPr>
            </w:pPr>
            <w:r>
              <w:rPr>
                <w:rFonts w:ascii="仿宋_GB2312" w:eastAsia="仿宋_GB2312" w:hint="eastAsia"/>
                <w:sz w:val="24"/>
              </w:rPr>
              <w:t>项目数</w:t>
            </w:r>
          </w:p>
        </w:tc>
        <w:tc>
          <w:tcPr>
            <w:tcW w:w="1125" w:type="dxa"/>
            <w:vAlign w:val="center"/>
          </w:tcPr>
          <w:p w:rsidR="00BE1972" w:rsidRDefault="00CF449E">
            <w:pPr>
              <w:jc w:val="center"/>
              <w:rPr>
                <w:rFonts w:ascii="仿宋_GB2312" w:eastAsia="仿宋_GB2312"/>
                <w:sz w:val="24"/>
              </w:rPr>
            </w:pPr>
            <w:r>
              <w:rPr>
                <w:rFonts w:ascii="仿宋_GB2312" w:eastAsia="仿宋_GB2312" w:hint="eastAsia"/>
                <w:sz w:val="24"/>
              </w:rPr>
              <w:t>建筑面积</w:t>
            </w:r>
          </w:p>
          <w:p w:rsidR="00BE1972" w:rsidRDefault="00CF449E">
            <w:pPr>
              <w:jc w:val="center"/>
              <w:rPr>
                <w:rFonts w:ascii="仿宋_GB2312" w:eastAsia="仿宋_GB2312"/>
                <w:sz w:val="24"/>
              </w:rPr>
            </w:pPr>
            <w:r>
              <w:rPr>
                <w:rFonts w:ascii="仿宋_GB2312" w:eastAsia="仿宋_GB2312" w:hint="eastAsia"/>
                <w:sz w:val="24"/>
              </w:rPr>
              <w:t>（万㎡）</w:t>
            </w:r>
          </w:p>
        </w:tc>
        <w:tc>
          <w:tcPr>
            <w:tcW w:w="870" w:type="dxa"/>
            <w:vAlign w:val="center"/>
          </w:tcPr>
          <w:p w:rsidR="00BE1972" w:rsidRDefault="00CF449E">
            <w:pPr>
              <w:jc w:val="center"/>
              <w:rPr>
                <w:rFonts w:ascii="仿宋_GB2312" w:eastAsia="仿宋_GB2312"/>
                <w:sz w:val="24"/>
              </w:rPr>
            </w:pPr>
            <w:r>
              <w:rPr>
                <w:rFonts w:ascii="仿宋_GB2312" w:eastAsia="仿宋_GB2312" w:hint="eastAsia"/>
                <w:sz w:val="24"/>
              </w:rPr>
              <w:t>面积占比（%）</w:t>
            </w:r>
          </w:p>
        </w:tc>
      </w:tr>
      <w:tr w:rsidR="00BE1972">
        <w:trPr>
          <w:jc w:val="center"/>
        </w:trPr>
        <w:tc>
          <w:tcPr>
            <w:tcW w:w="1121" w:type="dxa"/>
            <w:vAlign w:val="center"/>
          </w:tcPr>
          <w:p w:rsidR="00BE1972" w:rsidRDefault="00CF449E">
            <w:pPr>
              <w:jc w:val="center"/>
              <w:rPr>
                <w:rFonts w:ascii="仿宋_GB2312" w:eastAsia="仿宋_GB2312"/>
                <w:sz w:val="24"/>
              </w:rPr>
            </w:pPr>
            <w:r>
              <w:rPr>
                <w:rFonts w:ascii="仿宋_GB2312" w:eastAsia="仿宋_GB2312" w:hint="eastAsia"/>
                <w:sz w:val="24"/>
              </w:rPr>
              <w:t>2019</w:t>
            </w:r>
          </w:p>
        </w:tc>
        <w:tc>
          <w:tcPr>
            <w:tcW w:w="841" w:type="dxa"/>
            <w:vAlign w:val="center"/>
          </w:tcPr>
          <w:p w:rsidR="00BE1972" w:rsidRDefault="00CF449E">
            <w:pPr>
              <w:jc w:val="center"/>
              <w:rPr>
                <w:rFonts w:ascii="仿宋_GB2312" w:eastAsia="仿宋_GB2312"/>
                <w:sz w:val="24"/>
              </w:rPr>
            </w:pPr>
            <w:r>
              <w:rPr>
                <w:rFonts w:ascii="仿宋_GB2312" w:eastAsia="仿宋_GB2312" w:hint="eastAsia"/>
                <w:sz w:val="24"/>
              </w:rPr>
              <w:t>309</w:t>
            </w:r>
          </w:p>
        </w:tc>
        <w:tc>
          <w:tcPr>
            <w:tcW w:w="1121" w:type="dxa"/>
            <w:vAlign w:val="center"/>
          </w:tcPr>
          <w:p w:rsidR="00BE1972" w:rsidRDefault="00CF449E">
            <w:pPr>
              <w:jc w:val="center"/>
              <w:rPr>
                <w:rFonts w:ascii="仿宋_GB2312" w:eastAsia="仿宋_GB2312"/>
                <w:sz w:val="24"/>
              </w:rPr>
            </w:pPr>
            <w:r>
              <w:rPr>
                <w:rFonts w:ascii="仿宋_GB2312" w:eastAsia="仿宋_GB2312" w:hint="eastAsia"/>
                <w:sz w:val="24"/>
              </w:rPr>
              <w:t>2637</w:t>
            </w:r>
          </w:p>
        </w:tc>
        <w:tc>
          <w:tcPr>
            <w:tcW w:w="897" w:type="dxa"/>
            <w:vAlign w:val="center"/>
          </w:tcPr>
          <w:p w:rsidR="00BE1972" w:rsidRDefault="00CF449E">
            <w:pPr>
              <w:jc w:val="center"/>
              <w:rPr>
                <w:rFonts w:ascii="仿宋_GB2312" w:eastAsia="仿宋_GB2312"/>
                <w:sz w:val="24"/>
              </w:rPr>
            </w:pPr>
            <w:r>
              <w:rPr>
                <w:rFonts w:ascii="仿宋_GB2312" w:eastAsia="仿宋_GB2312" w:hint="eastAsia"/>
                <w:sz w:val="24"/>
              </w:rPr>
              <w:t>167</w:t>
            </w:r>
          </w:p>
        </w:tc>
        <w:tc>
          <w:tcPr>
            <w:tcW w:w="990" w:type="dxa"/>
            <w:vAlign w:val="center"/>
          </w:tcPr>
          <w:p w:rsidR="00BE1972" w:rsidRDefault="00CF449E">
            <w:pPr>
              <w:jc w:val="center"/>
              <w:rPr>
                <w:rFonts w:ascii="仿宋_GB2312" w:eastAsia="仿宋_GB2312"/>
                <w:sz w:val="24"/>
              </w:rPr>
            </w:pPr>
            <w:r>
              <w:rPr>
                <w:rFonts w:ascii="仿宋_GB2312" w:eastAsia="仿宋_GB2312" w:hint="eastAsia"/>
                <w:sz w:val="24"/>
              </w:rPr>
              <w:t>1490</w:t>
            </w:r>
          </w:p>
        </w:tc>
        <w:tc>
          <w:tcPr>
            <w:tcW w:w="1035" w:type="dxa"/>
            <w:vAlign w:val="center"/>
          </w:tcPr>
          <w:p w:rsidR="00BE1972" w:rsidRDefault="00CF449E">
            <w:pPr>
              <w:jc w:val="center"/>
              <w:rPr>
                <w:rFonts w:ascii="仿宋_GB2312" w:eastAsia="仿宋_GB2312"/>
                <w:sz w:val="24"/>
              </w:rPr>
            </w:pPr>
            <w:r>
              <w:rPr>
                <w:rFonts w:ascii="仿宋_GB2312" w:eastAsia="仿宋_GB2312" w:hint="eastAsia"/>
                <w:sz w:val="24"/>
              </w:rPr>
              <w:t>57</w:t>
            </w:r>
          </w:p>
        </w:tc>
        <w:tc>
          <w:tcPr>
            <w:tcW w:w="930" w:type="dxa"/>
            <w:vAlign w:val="center"/>
          </w:tcPr>
          <w:p w:rsidR="00BE1972" w:rsidRDefault="00CF449E">
            <w:pPr>
              <w:jc w:val="center"/>
              <w:rPr>
                <w:rFonts w:ascii="仿宋_GB2312" w:eastAsia="仿宋_GB2312"/>
                <w:sz w:val="24"/>
              </w:rPr>
            </w:pPr>
            <w:r>
              <w:rPr>
                <w:rFonts w:ascii="仿宋_GB2312" w:eastAsia="仿宋_GB2312" w:hint="eastAsia"/>
                <w:sz w:val="24"/>
              </w:rPr>
              <w:t>22</w:t>
            </w:r>
          </w:p>
        </w:tc>
        <w:tc>
          <w:tcPr>
            <w:tcW w:w="1125" w:type="dxa"/>
            <w:vAlign w:val="center"/>
          </w:tcPr>
          <w:p w:rsidR="00BE1972" w:rsidRDefault="00CF449E">
            <w:pPr>
              <w:jc w:val="center"/>
              <w:rPr>
                <w:rFonts w:ascii="仿宋_GB2312" w:eastAsia="仿宋_GB2312"/>
                <w:sz w:val="24"/>
              </w:rPr>
            </w:pPr>
            <w:r>
              <w:rPr>
                <w:rFonts w:ascii="仿宋_GB2312" w:eastAsia="仿宋_GB2312" w:hint="eastAsia"/>
                <w:sz w:val="24"/>
              </w:rPr>
              <w:t>244</w:t>
            </w:r>
          </w:p>
        </w:tc>
        <w:tc>
          <w:tcPr>
            <w:tcW w:w="870" w:type="dxa"/>
            <w:vAlign w:val="center"/>
          </w:tcPr>
          <w:p w:rsidR="00BE1972" w:rsidRDefault="00CF449E">
            <w:pPr>
              <w:jc w:val="center"/>
              <w:rPr>
                <w:rFonts w:ascii="仿宋_GB2312" w:eastAsia="仿宋_GB2312"/>
                <w:sz w:val="24"/>
              </w:rPr>
            </w:pPr>
            <w:r>
              <w:rPr>
                <w:rFonts w:ascii="仿宋_GB2312" w:eastAsia="仿宋_GB2312" w:hint="eastAsia"/>
                <w:sz w:val="24"/>
              </w:rPr>
              <w:t>9</w:t>
            </w:r>
          </w:p>
        </w:tc>
      </w:tr>
      <w:tr w:rsidR="00BE1972">
        <w:trPr>
          <w:jc w:val="center"/>
        </w:trPr>
        <w:tc>
          <w:tcPr>
            <w:tcW w:w="1121" w:type="dxa"/>
            <w:vAlign w:val="center"/>
          </w:tcPr>
          <w:p w:rsidR="00BE1972" w:rsidRDefault="00CF449E">
            <w:pPr>
              <w:jc w:val="center"/>
              <w:rPr>
                <w:rFonts w:ascii="仿宋_GB2312" w:eastAsia="仿宋_GB2312"/>
                <w:sz w:val="24"/>
              </w:rPr>
            </w:pPr>
            <w:r>
              <w:rPr>
                <w:rFonts w:ascii="仿宋_GB2312" w:eastAsia="仿宋_GB2312" w:hint="eastAsia"/>
                <w:sz w:val="24"/>
              </w:rPr>
              <w:t>2020</w:t>
            </w:r>
          </w:p>
        </w:tc>
        <w:tc>
          <w:tcPr>
            <w:tcW w:w="841" w:type="dxa"/>
            <w:vAlign w:val="center"/>
          </w:tcPr>
          <w:p w:rsidR="00BE1972" w:rsidRDefault="00CF449E">
            <w:pPr>
              <w:jc w:val="center"/>
              <w:rPr>
                <w:rFonts w:ascii="仿宋_GB2312" w:eastAsia="仿宋_GB2312"/>
                <w:sz w:val="24"/>
              </w:rPr>
            </w:pPr>
            <w:r>
              <w:rPr>
                <w:rFonts w:ascii="仿宋_GB2312" w:eastAsia="仿宋_GB2312" w:hint="eastAsia"/>
                <w:sz w:val="24"/>
              </w:rPr>
              <w:t>666</w:t>
            </w:r>
          </w:p>
        </w:tc>
        <w:tc>
          <w:tcPr>
            <w:tcW w:w="1121" w:type="dxa"/>
            <w:vAlign w:val="center"/>
          </w:tcPr>
          <w:p w:rsidR="00BE1972" w:rsidRDefault="00CF449E">
            <w:pPr>
              <w:jc w:val="center"/>
              <w:rPr>
                <w:rFonts w:ascii="仿宋_GB2312" w:eastAsia="仿宋_GB2312"/>
                <w:sz w:val="24"/>
              </w:rPr>
            </w:pPr>
            <w:r>
              <w:rPr>
                <w:rFonts w:ascii="仿宋_GB2312" w:eastAsia="仿宋_GB2312" w:hint="eastAsia"/>
                <w:sz w:val="24"/>
              </w:rPr>
              <w:t>6474</w:t>
            </w:r>
          </w:p>
        </w:tc>
        <w:tc>
          <w:tcPr>
            <w:tcW w:w="897" w:type="dxa"/>
            <w:vAlign w:val="center"/>
          </w:tcPr>
          <w:p w:rsidR="00BE1972" w:rsidRDefault="00CF449E">
            <w:pPr>
              <w:jc w:val="center"/>
              <w:rPr>
                <w:rFonts w:ascii="仿宋_GB2312" w:eastAsia="仿宋_GB2312"/>
                <w:sz w:val="24"/>
              </w:rPr>
            </w:pPr>
            <w:r>
              <w:rPr>
                <w:rFonts w:ascii="仿宋_GB2312" w:eastAsia="仿宋_GB2312" w:hint="eastAsia"/>
                <w:sz w:val="24"/>
              </w:rPr>
              <w:t>375</w:t>
            </w:r>
          </w:p>
        </w:tc>
        <w:tc>
          <w:tcPr>
            <w:tcW w:w="990" w:type="dxa"/>
            <w:vAlign w:val="center"/>
          </w:tcPr>
          <w:p w:rsidR="00BE1972" w:rsidRDefault="00CF449E">
            <w:pPr>
              <w:jc w:val="center"/>
              <w:rPr>
                <w:rFonts w:ascii="仿宋_GB2312" w:eastAsia="仿宋_GB2312"/>
                <w:sz w:val="24"/>
              </w:rPr>
            </w:pPr>
            <w:r>
              <w:rPr>
                <w:rFonts w:ascii="仿宋_GB2312" w:eastAsia="仿宋_GB2312" w:hint="eastAsia"/>
                <w:sz w:val="24"/>
              </w:rPr>
              <w:t>4278</w:t>
            </w:r>
          </w:p>
        </w:tc>
        <w:tc>
          <w:tcPr>
            <w:tcW w:w="1035" w:type="dxa"/>
            <w:vAlign w:val="center"/>
          </w:tcPr>
          <w:p w:rsidR="00BE1972" w:rsidRDefault="00CF449E">
            <w:pPr>
              <w:jc w:val="center"/>
              <w:rPr>
                <w:rFonts w:ascii="仿宋_GB2312" w:eastAsia="仿宋_GB2312"/>
                <w:sz w:val="24"/>
              </w:rPr>
            </w:pPr>
            <w:r>
              <w:rPr>
                <w:rFonts w:ascii="仿宋_GB2312" w:eastAsia="仿宋_GB2312" w:hint="eastAsia"/>
                <w:sz w:val="24"/>
              </w:rPr>
              <w:t>67</w:t>
            </w:r>
          </w:p>
        </w:tc>
        <w:tc>
          <w:tcPr>
            <w:tcW w:w="930" w:type="dxa"/>
            <w:vAlign w:val="center"/>
          </w:tcPr>
          <w:p w:rsidR="00BE1972" w:rsidRDefault="00CF449E">
            <w:pPr>
              <w:jc w:val="center"/>
              <w:rPr>
                <w:rFonts w:ascii="仿宋_GB2312" w:eastAsia="仿宋_GB2312"/>
                <w:sz w:val="24"/>
              </w:rPr>
            </w:pPr>
            <w:r>
              <w:rPr>
                <w:rFonts w:ascii="仿宋_GB2312" w:eastAsia="仿宋_GB2312" w:hint="eastAsia"/>
                <w:sz w:val="24"/>
              </w:rPr>
              <w:t>31</w:t>
            </w:r>
          </w:p>
        </w:tc>
        <w:tc>
          <w:tcPr>
            <w:tcW w:w="1125" w:type="dxa"/>
            <w:vAlign w:val="center"/>
          </w:tcPr>
          <w:p w:rsidR="00BE1972" w:rsidRDefault="00CF449E">
            <w:pPr>
              <w:jc w:val="center"/>
              <w:rPr>
                <w:rFonts w:ascii="仿宋_GB2312" w:eastAsia="仿宋_GB2312"/>
                <w:sz w:val="24"/>
              </w:rPr>
            </w:pPr>
            <w:r>
              <w:rPr>
                <w:rFonts w:ascii="仿宋_GB2312" w:eastAsia="仿宋_GB2312" w:hint="eastAsia"/>
                <w:sz w:val="24"/>
              </w:rPr>
              <w:t>353</w:t>
            </w:r>
          </w:p>
        </w:tc>
        <w:tc>
          <w:tcPr>
            <w:tcW w:w="870" w:type="dxa"/>
            <w:vAlign w:val="center"/>
          </w:tcPr>
          <w:p w:rsidR="00BE1972" w:rsidRDefault="00CF449E">
            <w:pPr>
              <w:jc w:val="center"/>
              <w:rPr>
                <w:rFonts w:ascii="仿宋_GB2312" w:eastAsia="仿宋_GB2312"/>
                <w:sz w:val="24"/>
              </w:rPr>
            </w:pPr>
            <w:r>
              <w:rPr>
                <w:rFonts w:ascii="仿宋_GB2312" w:eastAsia="仿宋_GB2312" w:hint="eastAsia"/>
                <w:sz w:val="24"/>
              </w:rPr>
              <w:t>5</w:t>
            </w:r>
          </w:p>
        </w:tc>
      </w:tr>
      <w:tr w:rsidR="00BE1972">
        <w:trPr>
          <w:jc w:val="center"/>
        </w:trPr>
        <w:tc>
          <w:tcPr>
            <w:tcW w:w="1121" w:type="dxa"/>
            <w:vAlign w:val="center"/>
          </w:tcPr>
          <w:p w:rsidR="00BE1972" w:rsidRDefault="00CF449E">
            <w:pPr>
              <w:jc w:val="center"/>
              <w:rPr>
                <w:rFonts w:ascii="仿宋_GB2312" w:eastAsia="仿宋_GB2312"/>
                <w:sz w:val="24"/>
              </w:rPr>
            </w:pPr>
            <w:r>
              <w:rPr>
                <w:rFonts w:ascii="仿宋_GB2312" w:eastAsia="仿宋_GB2312" w:hint="eastAsia"/>
                <w:sz w:val="24"/>
              </w:rPr>
              <w:t>合计</w:t>
            </w:r>
          </w:p>
        </w:tc>
        <w:tc>
          <w:tcPr>
            <w:tcW w:w="841" w:type="dxa"/>
            <w:vAlign w:val="center"/>
          </w:tcPr>
          <w:p w:rsidR="00BE1972" w:rsidRDefault="00CF449E">
            <w:pPr>
              <w:jc w:val="center"/>
              <w:rPr>
                <w:rFonts w:ascii="仿宋_GB2312" w:eastAsia="仿宋_GB2312"/>
                <w:sz w:val="24"/>
              </w:rPr>
            </w:pPr>
            <w:r>
              <w:rPr>
                <w:rFonts w:ascii="仿宋_GB2312" w:eastAsia="仿宋_GB2312" w:hint="eastAsia"/>
                <w:sz w:val="24"/>
              </w:rPr>
              <w:t>975</w:t>
            </w:r>
          </w:p>
        </w:tc>
        <w:tc>
          <w:tcPr>
            <w:tcW w:w="1121" w:type="dxa"/>
            <w:vAlign w:val="center"/>
          </w:tcPr>
          <w:p w:rsidR="00BE1972" w:rsidRDefault="00CF449E">
            <w:pPr>
              <w:jc w:val="center"/>
              <w:rPr>
                <w:rFonts w:ascii="仿宋_GB2312" w:eastAsia="仿宋_GB2312"/>
                <w:sz w:val="24"/>
              </w:rPr>
            </w:pPr>
            <w:r>
              <w:rPr>
                <w:rFonts w:ascii="仿宋_GB2312" w:eastAsia="仿宋_GB2312" w:hint="eastAsia"/>
                <w:sz w:val="24"/>
              </w:rPr>
              <w:t>9111</w:t>
            </w:r>
          </w:p>
        </w:tc>
        <w:tc>
          <w:tcPr>
            <w:tcW w:w="897" w:type="dxa"/>
            <w:vAlign w:val="center"/>
          </w:tcPr>
          <w:p w:rsidR="00BE1972" w:rsidRDefault="00CF449E">
            <w:pPr>
              <w:jc w:val="center"/>
              <w:rPr>
                <w:rFonts w:ascii="仿宋_GB2312" w:eastAsia="仿宋_GB2312"/>
                <w:sz w:val="24"/>
              </w:rPr>
            </w:pPr>
            <w:r>
              <w:rPr>
                <w:rFonts w:ascii="仿宋_GB2312" w:eastAsia="仿宋_GB2312" w:hint="eastAsia"/>
                <w:sz w:val="24"/>
              </w:rPr>
              <w:t>542</w:t>
            </w:r>
          </w:p>
        </w:tc>
        <w:tc>
          <w:tcPr>
            <w:tcW w:w="990" w:type="dxa"/>
            <w:vAlign w:val="center"/>
          </w:tcPr>
          <w:p w:rsidR="00BE1972" w:rsidRDefault="00CF449E">
            <w:pPr>
              <w:jc w:val="center"/>
              <w:rPr>
                <w:rFonts w:ascii="仿宋_GB2312" w:eastAsia="仿宋_GB2312"/>
                <w:sz w:val="24"/>
              </w:rPr>
            </w:pPr>
            <w:r>
              <w:rPr>
                <w:rFonts w:ascii="仿宋_GB2312" w:eastAsia="仿宋_GB2312" w:hint="eastAsia"/>
                <w:sz w:val="24"/>
              </w:rPr>
              <w:t>5768</w:t>
            </w:r>
          </w:p>
        </w:tc>
        <w:tc>
          <w:tcPr>
            <w:tcW w:w="1035" w:type="dxa"/>
            <w:vAlign w:val="center"/>
          </w:tcPr>
          <w:p w:rsidR="00BE1972" w:rsidRDefault="00CF449E">
            <w:pPr>
              <w:jc w:val="center"/>
              <w:rPr>
                <w:rFonts w:ascii="仿宋_GB2312" w:eastAsia="仿宋_GB2312"/>
                <w:sz w:val="24"/>
              </w:rPr>
            </w:pPr>
            <w:r>
              <w:rPr>
                <w:rFonts w:ascii="仿宋_GB2312" w:eastAsia="仿宋_GB2312" w:hint="eastAsia"/>
                <w:sz w:val="24"/>
              </w:rPr>
              <w:t>63</w:t>
            </w:r>
          </w:p>
        </w:tc>
        <w:tc>
          <w:tcPr>
            <w:tcW w:w="930" w:type="dxa"/>
            <w:vAlign w:val="center"/>
          </w:tcPr>
          <w:p w:rsidR="00BE1972" w:rsidRDefault="00CF449E">
            <w:pPr>
              <w:jc w:val="center"/>
              <w:rPr>
                <w:rFonts w:ascii="仿宋_GB2312" w:eastAsia="仿宋_GB2312"/>
                <w:sz w:val="24"/>
              </w:rPr>
            </w:pPr>
            <w:r>
              <w:rPr>
                <w:rFonts w:ascii="仿宋_GB2312" w:eastAsia="仿宋_GB2312" w:hint="eastAsia"/>
                <w:sz w:val="24"/>
              </w:rPr>
              <w:t>53</w:t>
            </w:r>
          </w:p>
        </w:tc>
        <w:tc>
          <w:tcPr>
            <w:tcW w:w="1125" w:type="dxa"/>
            <w:vAlign w:val="center"/>
          </w:tcPr>
          <w:p w:rsidR="00BE1972" w:rsidRDefault="00CF449E">
            <w:pPr>
              <w:jc w:val="center"/>
              <w:rPr>
                <w:rFonts w:ascii="仿宋_GB2312" w:eastAsia="仿宋_GB2312"/>
                <w:sz w:val="24"/>
              </w:rPr>
            </w:pPr>
            <w:r>
              <w:rPr>
                <w:rFonts w:ascii="仿宋_GB2312" w:eastAsia="仿宋_GB2312" w:hint="eastAsia"/>
                <w:sz w:val="24"/>
              </w:rPr>
              <w:t>597</w:t>
            </w:r>
          </w:p>
        </w:tc>
        <w:tc>
          <w:tcPr>
            <w:tcW w:w="870" w:type="dxa"/>
            <w:vAlign w:val="center"/>
          </w:tcPr>
          <w:p w:rsidR="00BE1972" w:rsidRDefault="00CF449E">
            <w:pPr>
              <w:jc w:val="center"/>
              <w:rPr>
                <w:rFonts w:ascii="仿宋_GB2312" w:eastAsia="仿宋_GB2312"/>
                <w:sz w:val="24"/>
              </w:rPr>
            </w:pPr>
            <w:r>
              <w:rPr>
                <w:rFonts w:ascii="仿宋_GB2312" w:eastAsia="仿宋_GB2312" w:hint="eastAsia"/>
                <w:sz w:val="24"/>
              </w:rPr>
              <w:t>7</w:t>
            </w:r>
          </w:p>
        </w:tc>
      </w:tr>
    </w:tbl>
    <w:p w:rsidR="00BE1972" w:rsidRDefault="00CF449E">
      <w:pPr>
        <w:pStyle w:val="2"/>
        <w:ind w:firstLineChars="200" w:firstLine="640"/>
        <w:rPr>
          <w:rFonts w:ascii="仿宋_GB2312" w:eastAsia="仿宋_GB2312"/>
          <w:b w:val="0"/>
        </w:rPr>
      </w:pPr>
      <w:bookmarkStart w:id="4" w:name="_Toc6771"/>
      <w:r>
        <w:rPr>
          <w:rFonts w:ascii="仿宋_GB2312" w:eastAsia="仿宋_GB2312" w:hint="eastAsia"/>
          <w:b w:val="0"/>
        </w:rPr>
        <w:t>（二）</w:t>
      </w:r>
      <w:r>
        <w:rPr>
          <w:rFonts w:ascii="仿宋_GB2312" w:eastAsia="仿宋_GB2312" w:hint="eastAsia"/>
        </w:rPr>
        <w:t>主要做法和措施</w:t>
      </w:r>
      <w:bookmarkEnd w:id="4"/>
    </w:p>
    <w:p w:rsidR="00BE1972" w:rsidRDefault="00CF449E">
      <w:pPr>
        <w:spacing w:line="360" w:lineRule="auto"/>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1、专题会议与专项监督检查结合力推全市工作进度</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实施期间，市建委组织召开多次工作推进会和阶段性工作部署会，同时针对部分区、县（市）任务完成滞后的问题，开展专项监督检查，并下发现场</w:t>
      </w:r>
      <w:proofErr w:type="gramStart"/>
      <w:r>
        <w:rPr>
          <w:rFonts w:ascii="仿宋_GB2312" w:eastAsia="仿宋_GB2312" w:hint="eastAsia"/>
          <w:sz w:val="28"/>
          <w:szCs w:val="28"/>
        </w:rPr>
        <w:t>检查督告单</w:t>
      </w:r>
      <w:proofErr w:type="gramEnd"/>
      <w:r>
        <w:rPr>
          <w:rFonts w:ascii="仿宋_GB2312" w:eastAsia="仿宋_GB2312" w:hint="eastAsia"/>
          <w:sz w:val="28"/>
          <w:szCs w:val="28"/>
        </w:rPr>
        <w:t>，力推全市工作进度。2020年3月疫情得到控制复工复产后，各区、县（市）的工作进度明显加快，目前已进入示范项目验收阶段，为圆满完成任务做好最后的工作。</w:t>
      </w:r>
    </w:p>
    <w:p w:rsidR="00BE1972" w:rsidRDefault="00CF449E">
      <w:pPr>
        <w:spacing w:line="360" w:lineRule="auto"/>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2、制定工作步骤指导能效提升工作的实施</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针对项目立项、实施、完工、竣工验收和示范验收的时间进度要求，市建委多次召集区、县（市）住建局及第三方节能量核定机构对竣工验收和试运行、节能量核定、示范项目验收等环节的具体操作进行指导，细化工作流程，使得区、县（市）和第三方节能量核定机构对整个实施工作的脉络更加清晰。</w:t>
      </w:r>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3、积极探索绿色金融服务</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为提高金融服务环境，市建委会同市金融办、江苏银行等单位开展绿色金融服务探索，组织向全市</w:t>
      </w:r>
      <w:proofErr w:type="gramStart"/>
      <w:r>
        <w:rPr>
          <w:rFonts w:ascii="仿宋_GB2312" w:eastAsia="仿宋_GB2312" w:hint="eastAsia"/>
          <w:sz w:val="28"/>
          <w:szCs w:val="28"/>
        </w:rPr>
        <w:t>各合同</w:t>
      </w:r>
      <w:proofErr w:type="gramEnd"/>
      <w:r>
        <w:rPr>
          <w:rFonts w:ascii="仿宋_GB2312" w:eastAsia="仿宋_GB2312" w:hint="eastAsia"/>
          <w:sz w:val="28"/>
          <w:szCs w:val="28"/>
        </w:rPr>
        <w:t>能源管理单位征集绿色贷款需求，对合同能源管理方式推行起到了推动作用。</w:t>
      </w:r>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4、各区、县（市）根据自身情况有序开展工作</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2020年上半年受疫情影响，部分工作进度放缓，各区、县（市）的工作推进力度以及实际进展与预期差异较大，但疫情缓解后积极有序开展工作，呈现出“前松后紧”的现象。同时，部分区、县（市）在已经完成任务的基础上，积极发挥区内企业节能改造积极性，动员继续申报示范，如拱</w:t>
      </w:r>
      <w:proofErr w:type="gramStart"/>
      <w:r>
        <w:rPr>
          <w:rFonts w:ascii="仿宋_GB2312" w:eastAsia="仿宋_GB2312" w:hint="eastAsia"/>
          <w:sz w:val="28"/>
          <w:szCs w:val="28"/>
        </w:rPr>
        <w:t>墅</w:t>
      </w:r>
      <w:proofErr w:type="gramEnd"/>
      <w:r>
        <w:rPr>
          <w:rFonts w:ascii="仿宋_GB2312" w:eastAsia="仿宋_GB2312" w:hint="eastAsia"/>
          <w:sz w:val="28"/>
          <w:szCs w:val="28"/>
        </w:rPr>
        <w:t>区增加</w:t>
      </w:r>
      <w:proofErr w:type="gramStart"/>
      <w:r>
        <w:rPr>
          <w:rFonts w:ascii="仿宋_GB2312" w:eastAsia="仿宋_GB2312" w:hint="eastAsia"/>
          <w:sz w:val="28"/>
          <w:szCs w:val="28"/>
        </w:rPr>
        <w:t>杭州乐堤港</w:t>
      </w:r>
      <w:proofErr w:type="gramEnd"/>
      <w:r>
        <w:rPr>
          <w:rFonts w:ascii="仿宋_GB2312" w:eastAsia="仿宋_GB2312" w:hint="eastAsia"/>
          <w:sz w:val="28"/>
          <w:szCs w:val="28"/>
        </w:rPr>
        <w:t>购物中心节能改造项目面积13万平方米，余杭区新增区内重点企业阿里巴巴，新增示范面积约40万平方米。</w:t>
      </w:r>
    </w:p>
    <w:p w:rsidR="00BE1972" w:rsidRDefault="00CF449E">
      <w:pPr>
        <w:pStyle w:val="2"/>
        <w:ind w:firstLineChars="200" w:firstLine="562"/>
        <w:rPr>
          <w:rFonts w:ascii="仿宋_GB2312" w:eastAsia="仿宋_GB2312"/>
          <w:b w:val="0"/>
          <w:bCs w:val="0"/>
          <w:sz w:val="28"/>
          <w:szCs w:val="28"/>
        </w:rPr>
      </w:pPr>
      <w:bookmarkStart w:id="5" w:name="_Toc16339"/>
      <w:r>
        <w:rPr>
          <w:rFonts w:ascii="仿宋_GB2312" w:eastAsia="仿宋_GB2312" w:hint="eastAsia"/>
          <w:sz w:val="28"/>
          <w:szCs w:val="28"/>
        </w:rPr>
        <w:t>（三）宣贯工作</w:t>
      </w:r>
      <w:bookmarkEnd w:id="5"/>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实施期间，市建委在浙江在线、杭州日报等媒体开展我市公共建筑节能改造专题宣传，发挥引导作用。各区县（市）分别通过</w:t>
      </w:r>
      <w:proofErr w:type="gramStart"/>
      <w:r>
        <w:rPr>
          <w:rFonts w:ascii="仿宋_GB2312" w:eastAsia="仿宋_GB2312" w:hint="eastAsia"/>
          <w:sz w:val="28"/>
          <w:szCs w:val="28"/>
        </w:rPr>
        <w:t>微信公众号</w:t>
      </w:r>
      <w:proofErr w:type="gramEnd"/>
      <w:r>
        <w:rPr>
          <w:rFonts w:ascii="仿宋_GB2312" w:eastAsia="仿宋_GB2312" w:hint="eastAsia"/>
          <w:sz w:val="28"/>
          <w:szCs w:val="28"/>
        </w:rPr>
        <w:t>、门户网站发布项目征集通知，在辖区范围内起到宣贯作用。富阳区、萧山区、余杭区等地住建局多次组织政策宣贯会、培训会，加强引导，明确路径，推广合同能源管理改造方式。</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2019年6月，市建委、</w:t>
      </w:r>
      <w:proofErr w:type="gramStart"/>
      <w:r>
        <w:rPr>
          <w:rFonts w:ascii="仿宋_GB2312" w:eastAsia="仿宋_GB2312" w:hint="eastAsia"/>
          <w:sz w:val="28"/>
          <w:szCs w:val="28"/>
        </w:rPr>
        <w:t>市发改委</w:t>
      </w:r>
      <w:proofErr w:type="gramEnd"/>
      <w:r>
        <w:rPr>
          <w:rFonts w:ascii="仿宋_GB2312" w:eastAsia="仿宋_GB2312" w:hint="eastAsia"/>
          <w:sz w:val="28"/>
          <w:szCs w:val="28"/>
        </w:rPr>
        <w:t>、市机关事务管理局联合举办“杭州市公共建筑能效提升政策培训会暨专题讲座”，市区相关行业管理部门、从业人员250余人参加。</w:t>
      </w:r>
    </w:p>
    <w:p w:rsidR="00BE1972" w:rsidRDefault="00CF449E">
      <w:pPr>
        <w:spacing w:line="360" w:lineRule="auto"/>
        <w:ind w:firstLineChars="200" w:firstLine="560"/>
        <w:rPr>
          <w:rFonts w:ascii="仿宋_GB2312" w:eastAsia="仿宋_GB2312"/>
          <w:sz w:val="28"/>
          <w:szCs w:val="28"/>
        </w:rPr>
      </w:pPr>
      <w:r>
        <w:rPr>
          <w:rFonts w:ascii="仿宋_GB2312" w:eastAsia="仿宋_GB2312" w:hint="eastAsia"/>
          <w:sz w:val="28"/>
          <w:szCs w:val="28"/>
        </w:rPr>
        <w:t>2019年6-7月，市建委、</w:t>
      </w:r>
      <w:proofErr w:type="gramStart"/>
      <w:r>
        <w:rPr>
          <w:rFonts w:ascii="仿宋_GB2312" w:eastAsia="仿宋_GB2312" w:hint="eastAsia"/>
          <w:sz w:val="28"/>
          <w:szCs w:val="28"/>
        </w:rPr>
        <w:t>市发改委</w:t>
      </w:r>
      <w:proofErr w:type="gramEnd"/>
      <w:r>
        <w:rPr>
          <w:rFonts w:ascii="仿宋_GB2312" w:eastAsia="仿宋_GB2312" w:hint="eastAsia"/>
          <w:sz w:val="28"/>
          <w:szCs w:val="28"/>
        </w:rPr>
        <w:t>、市财政局、市机关事务管理局、市金融办相关人员共同组成督查检查组，赴14个区县（市）督查检查工作开展情况，提供指导与服务。11-12月，市建委利用全市建筑节能和绿色建筑大检查的机会，对部分进展较慢的区县（市）进行督导督促。</w:t>
      </w:r>
    </w:p>
    <w:p w:rsidR="00BE1972" w:rsidRDefault="00CF449E">
      <w:pPr>
        <w:spacing w:line="360" w:lineRule="auto"/>
        <w:ind w:firstLineChars="200" w:firstLine="560"/>
        <w:rPr>
          <w:rFonts w:ascii="仿宋_GB2312" w:eastAsia="仿宋_GB2312"/>
          <w:sz w:val="28"/>
          <w:szCs w:val="28"/>
        </w:rPr>
      </w:pPr>
      <w:r>
        <w:rPr>
          <w:rFonts w:ascii="仿宋_GB2312" w:eastAsia="仿宋_GB2312" w:hint="eastAsia"/>
          <w:sz w:val="28"/>
          <w:szCs w:val="28"/>
        </w:rPr>
        <w:t>2020年3—4月、9月，市建委赴 12个区县（市）督查检查工作开展情况，推进工作相对落后区县（市）加快进展。2020年，市建委召集相关单位召开3次项目推进会，同时为做好公共建筑能效提升示范项目的总结工作，市建委已组织开展《杭州市公共建筑能效提升示范项目汇编手册》、《公共建筑能效提升适宜技术和产品》的编制准备工作，旨在推广示范项目，树立行业标杆。</w:t>
      </w:r>
    </w:p>
    <w:p w:rsidR="00BE1972" w:rsidRDefault="00CF449E">
      <w:pPr>
        <w:pStyle w:val="2"/>
        <w:ind w:firstLineChars="200" w:firstLine="643"/>
        <w:rPr>
          <w:rFonts w:ascii="仿宋_GB2312" w:eastAsia="仿宋_GB2312"/>
          <w:b w:val="0"/>
        </w:rPr>
      </w:pPr>
      <w:bookmarkStart w:id="6" w:name="_Toc8926"/>
      <w:r>
        <w:rPr>
          <w:rFonts w:ascii="仿宋_GB2312" w:eastAsia="仿宋_GB2312" w:hint="eastAsia"/>
        </w:rPr>
        <w:t>（四）存在的问题</w:t>
      </w:r>
      <w:bookmarkEnd w:id="6"/>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1、节能改造工作实施难度较大</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主要原因有：一是公共建筑节能改造项目涉及建筑类型众多，不同类型的建筑归口不同部门管理，项目实施协调难度大；二是公共建筑产权业主方、运营方和物业管理方的职责如果不</w:t>
      </w:r>
      <w:proofErr w:type="gramStart"/>
      <w:r>
        <w:rPr>
          <w:rFonts w:ascii="仿宋_GB2312" w:eastAsia="仿宋_GB2312" w:hint="eastAsia"/>
          <w:sz w:val="28"/>
          <w:szCs w:val="28"/>
        </w:rPr>
        <w:t>明晰会</w:t>
      </w:r>
      <w:proofErr w:type="gramEnd"/>
      <w:r>
        <w:rPr>
          <w:rFonts w:ascii="仿宋_GB2312" w:eastAsia="仿宋_GB2312" w:hint="eastAsia"/>
          <w:sz w:val="28"/>
          <w:szCs w:val="28"/>
        </w:rPr>
        <w:t>造成各方利益难以协调，进而影响改造积极性；三是部分服务型或营运性行业业主，如医院、商场、酒店等，对公共建筑节能改造心存顾虑，担心改造影响工作、生产、经营，加大了实施难度。</w:t>
      </w:r>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2、部分区、县（市）的推进工作相对缓慢</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部分区、县（市）在工作开展初期，工作进展较为缓慢。另外，能效提升工作项目</w:t>
      </w:r>
      <w:r>
        <w:rPr>
          <w:rFonts w:ascii="仿宋_GB2312" w:eastAsia="仿宋_GB2312" w:hint="eastAsia"/>
          <w:bCs/>
          <w:sz w:val="28"/>
          <w:szCs w:val="28"/>
        </w:rPr>
        <w:t>复杂、类型分散，涉及部门及市场主体多，组织实施及日常管理工作量大，需要专门的机构及人员管理，人手紧张也一定程度上影响了工作进度。</w:t>
      </w:r>
      <w:r>
        <w:rPr>
          <w:rFonts w:ascii="仿宋_GB2312" w:eastAsia="仿宋_GB2312" w:hint="eastAsia"/>
          <w:sz w:val="28"/>
          <w:szCs w:val="28"/>
        </w:rPr>
        <w:t>后期经市建委、各区、县（市）住建局及相关部门的共同努力，各区、县（市）都较为圆满地完成了目标任务，全市的目标任务超额完成。</w:t>
      </w:r>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3、技术水平需要进一步提升</w:t>
      </w:r>
    </w:p>
    <w:p w:rsidR="00BE1972" w:rsidRDefault="00CF449E">
      <w:pPr>
        <w:ind w:firstLineChars="200" w:firstLine="560"/>
        <w:rPr>
          <w:rFonts w:ascii="仿宋_GB2312" w:eastAsia="仿宋_GB2312"/>
          <w:sz w:val="28"/>
          <w:szCs w:val="28"/>
        </w:rPr>
      </w:pPr>
      <w:r>
        <w:rPr>
          <w:rFonts w:ascii="仿宋_GB2312" w:eastAsia="仿宋_GB2312" w:hint="eastAsia"/>
          <w:bCs/>
          <w:sz w:val="28"/>
          <w:szCs w:val="28"/>
        </w:rPr>
        <w:t>现阶段的公共建筑能效提升改造，大部分改造技术只是针对建筑的围护结构、照明改造和空调设备进行管理和改造，系统化综合改造能力还需加强。另外，节能量核定能力也需要加强，公共建筑能效提升改造后需由第三方评估机构出具节能量核定报告，因此核定结果是否科学、准确，直接关系到财政补助资金的发放以及建筑业主与合同能源管理公司的节能效益分享。</w:t>
      </w:r>
    </w:p>
    <w:p w:rsidR="00BE1972" w:rsidRDefault="00CF449E">
      <w:pPr>
        <w:pStyle w:val="1"/>
        <w:ind w:firstLineChars="200" w:firstLine="643"/>
        <w:rPr>
          <w:rFonts w:ascii="仿宋_GB2312" w:eastAsia="仿宋_GB2312"/>
          <w:b w:val="0"/>
          <w:sz w:val="32"/>
          <w:szCs w:val="32"/>
        </w:rPr>
      </w:pPr>
      <w:bookmarkStart w:id="7" w:name="_Toc26405"/>
      <w:r>
        <w:rPr>
          <w:rFonts w:ascii="仿宋_GB2312" w:eastAsia="仿宋_GB2312" w:hint="eastAsia"/>
          <w:sz w:val="32"/>
          <w:szCs w:val="32"/>
        </w:rPr>
        <w:t>三、评估结论和建议</w:t>
      </w:r>
      <w:bookmarkEnd w:id="7"/>
    </w:p>
    <w:p w:rsidR="00BE1972" w:rsidRDefault="00CF449E">
      <w:pPr>
        <w:ind w:firstLineChars="200" w:firstLine="560"/>
        <w:rPr>
          <w:rFonts w:ascii="仿宋_GB2312" w:eastAsia="仿宋_GB2312" w:hAnsiTheme="minorEastAsia"/>
          <w:color w:val="000000" w:themeColor="text1"/>
          <w:sz w:val="28"/>
          <w:szCs w:val="28"/>
        </w:rPr>
      </w:pPr>
      <w:bookmarkStart w:id="8" w:name="_Hlk529885099"/>
      <w:r>
        <w:rPr>
          <w:rFonts w:ascii="仿宋_GB2312" w:eastAsia="仿宋_GB2312" w:hint="eastAsia"/>
          <w:sz w:val="28"/>
          <w:szCs w:val="28"/>
        </w:rPr>
        <w:t>《实施方案》执行以来，通过政策和技术支撑体系制定、示范项目的有效监管、建筑节能市场的完善推进，全面推进了我市既有公共建筑节能改造的规模化发展，规范建筑节能改造，提升建筑能效水平和节能质量；通过行政和市场两个渠道解决项目征集和资金奖励，同时利用合同能源管理解决事前融资来推动公共建筑能效提升的实施，建立了多部门协作的工作机制；通过完善节能信息管理平台、探索能耗限额管理加强公共建筑用能监管；为建筑节能发展提供良好的市场环境，激发市场主体实施建筑节能改造的动力，逐步发挥市场配置资源的决定性作用。《实施方案》完成了预期目标，有助于促进节能减排，提高老百姓生活工作的环境质量，为建设</w:t>
      </w:r>
      <w:r>
        <w:rPr>
          <w:rFonts w:ascii="仿宋_GB2312" w:eastAsia="仿宋_GB2312" w:hAnsiTheme="minorEastAsia" w:hint="eastAsia"/>
          <w:color w:val="000000" w:themeColor="text1"/>
          <w:sz w:val="28"/>
          <w:szCs w:val="28"/>
        </w:rPr>
        <w:t>美丽宜居、绿色低碳杭州做贡献。现将评估结论和下一步建议总结如下：</w:t>
      </w:r>
    </w:p>
    <w:p w:rsidR="00BE1972" w:rsidRDefault="00CF449E">
      <w:pPr>
        <w:pStyle w:val="2"/>
        <w:ind w:firstLineChars="200" w:firstLine="560"/>
        <w:rPr>
          <w:rFonts w:ascii="仿宋_GB2312" w:eastAsia="仿宋_GB2312" w:hAnsiTheme="minorEastAsia"/>
          <w:b w:val="0"/>
          <w:bCs w:val="0"/>
          <w:color w:val="000000" w:themeColor="text1"/>
          <w:sz w:val="28"/>
          <w:szCs w:val="28"/>
        </w:rPr>
      </w:pPr>
      <w:bookmarkStart w:id="9" w:name="_Toc23877"/>
      <w:r>
        <w:rPr>
          <w:rFonts w:ascii="仿宋_GB2312" w:eastAsia="仿宋_GB2312" w:hAnsiTheme="minorEastAsia" w:hint="eastAsia"/>
          <w:b w:val="0"/>
          <w:bCs w:val="0"/>
          <w:color w:val="000000" w:themeColor="text1"/>
          <w:sz w:val="28"/>
          <w:szCs w:val="28"/>
        </w:rPr>
        <w:t>（一）</w:t>
      </w:r>
      <w:r>
        <w:rPr>
          <w:rFonts w:ascii="仿宋_GB2312" w:eastAsia="仿宋_GB2312" w:hAnsiTheme="minorEastAsia" w:hint="eastAsia"/>
          <w:color w:val="000000" w:themeColor="text1"/>
          <w:sz w:val="28"/>
          <w:szCs w:val="28"/>
        </w:rPr>
        <w:t>评估结论</w:t>
      </w:r>
      <w:bookmarkEnd w:id="9"/>
    </w:p>
    <w:bookmarkEnd w:id="8"/>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1、超额完成公共建筑节能改造任务</w:t>
      </w:r>
    </w:p>
    <w:p w:rsidR="00BE1972" w:rsidRDefault="00CF449E">
      <w:pPr>
        <w:spacing w:line="360" w:lineRule="auto"/>
        <w:ind w:firstLineChars="200" w:firstLine="560"/>
        <w:rPr>
          <w:rFonts w:ascii="仿宋_GB2312" w:eastAsia="仿宋_GB2312"/>
          <w:color w:val="FF0000"/>
          <w:sz w:val="28"/>
          <w:szCs w:val="28"/>
        </w:rPr>
      </w:pPr>
      <w:r>
        <w:rPr>
          <w:rFonts w:ascii="仿宋_GB2312" w:eastAsia="仿宋_GB2312" w:hAnsiTheme="minorEastAsia" w:hint="eastAsia"/>
          <w:color w:val="000000" w:themeColor="text1"/>
          <w:sz w:val="28"/>
          <w:szCs w:val="28"/>
        </w:rPr>
        <w:t>截至2020年11月底，全市共有49个能效提升示范项目立项，总示范面积306.70万平方米（折算面积），为任务总量的128%。其中28个改造项目全部或部分采用合同能源管理模式，共计175.04万平方米，为总面积的57%，达到了“240万平方米中通过合同能源管理实施的改造面积不少于40%”的总体任务要求。</w:t>
      </w:r>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2、经济和社会效益较为明显</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基于杭州的气候特点、能耗特点，目前公共建筑节能改造主要通过</w:t>
      </w:r>
      <w:r>
        <w:rPr>
          <w:rFonts w:ascii="仿宋_GB2312" w:eastAsia="仿宋_GB2312"/>
          <w:sz w:val="28"/>
          <w:szCs w:val="28"/>
        </w:rPr>
        <w:t>设施改善、围护结构保温隔热、门窗改造、遮阳改造等措施实现，</w:t>
      </w:r>
      <w:r>
        <w:rPr>
          <w:rFonts w:ascii="仿宋_GB2312" w:eastAsia="仿宋_GB2312" w:hint="eastAsia"/>
          <w:sz w:val="28"/>
          <w:szCs w:val="28"/>
        </w:rPr>
        <w:t>改造技术路线的选择遵循经济适用、节能降耗见效快的原则，围绕节能率下降15%为目标优化改造技术体系，降低项目能耗运营成本，经济效益明显。</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全市共有49个能效提升示范项目立项，总示范面积306.70万平方米（折算面积）。根据2019年公共建筑能耗统计结果，平均单位建筑面积年用电量为95.43kWh/m</w:t>
      </w:r>
      <w:r>
        <w:rPr>
          <w:rFonts w:ascii="仿宋_GB2312" w:eastAsia="仿宋_GB2312" w:hint="eastAsia"/>
          <w:sz w:val="28"/>
          <w:szCs w:val="28"/>
          <w:vertAlign w:val="superscript"/>
        </w:rPr>
        <w:t>2</w:t>
      </w:r>
      <w:r>
        <w:rPr>
          <w:rFonts w:ascii="仿宋_GB2312" w:eastAsia="仿宋_GB2312" w:hint="eastAsia"/>
          <w:sz w:val="28"/>
          <w:szCs w:val="28"/>
        </w:rPr>
        <w:t>,折31.49kgce/m</w:t>
      </w:r>
      <w:r>
        <w:rPr>
          <w:rFonts w:ascii="仿宋_GB2312" w:eastAsia="仿宋_GB2312" w:hint="eastAsia"/>
          <w:sz w:val="28"/>
          <w:szCs w:val="28"/>
          <w:vertAlign w:val="superscript"/>
        </w:rPr>
        <w:t>2</w:t>
      </w:r>
      <w:r>
        <w:rPr>
          <w:rFonts w:ascii="仿宋_GB2312" w:eastAsia="仿宋_GB2312" w:hint="eastAsia"/>
          <w:sz w:val="28"/>
          <w:szCs w:val="28"/>
        </w:rPr>
        <w:t>,以此为基数并按节能改造平均节能率15%计算，能效提升示范项目共节约能源14487吨标煤，具有良好的社会效益。</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《实施方案》有助于实现《杭州市绿色建筑专项规划（2017-2025）》近期规划第二层次</w:t>
      </w:r>
      <w:r>
        <w:rPr>
          <w:rFonts w:ascii="仿宋_GB2312" w:eastAsia="仿宋_GB2312"/>
          <w:sz w:val="28"/>
          <w:szCs w:val="28"/>
        </w:rPr>
        <w:t>既有民用建筑绿色改造</w:t>
      </w:r>
      <w:r>
        <w:rPr>
          <w:rFonts w:ascii="仿宋_GB2312" w:eastAsia="仿宋_GB2312" w:hint="eastAsia"/>
          <w:sz w:val="28"/>
          <w:szCs w:val="28"/>
        </w:rPr>
        <w:t>总体目标，随着《实施方案的完成》，更多的公共建筑</w:t>
      </w:r>
      <w:r>
        <w:rPr>
          <w:rFonts w:ascii="仿宋_GB2312" w:eastAsia="仿宋_GB2312"/>
          <w:sz w:val="28"/>
          <w:szCs w:val="28"/>
        </w:rPr>
        <w:t>接入</w:t>
      </w:r>
      <w:r>
        <w:rPr>
          <w:rFonts w:ascii="仿宋_GB2312" w:eastAsia="仿宋_GB2312"/>
          <w:sz w:val="28"/>
          <w:szCs w:val="28"/>
        </w:rPr>
        <w:t>“</w:t>
      </w:r>
      <w:r>
        <w:rPr>
          <w:rFonts w:ascii="仿宋_GB2312" w:eastAsia="仿宋_GB2312"/>
          <w:sz w:val="28"/>
          <w:szCs w:val="28"/>
        </w:rPr>
        <w:t>杭州市建筑节能信息管理平台</w:t>
      </w:r>
      <w:r>
        <w:rPr>
          <w:rFonts w:ascii="仿宋_GB2312" w:eastAsia="仿宋_GB2312"/>
          <w:sz w:val="28"/>
          <w:szCs w:val="28"/>
        </w:rPr>
        <w:t>”</w:t>
      </w:r>
      <w:r>
        <w:rPr>
          <w:rFonts w:ascii="仿宋_GB2312" w:eastAsia="仿宋_GB2312"/>
          <w:sz w:val="28"/>
          <w:szCs w:val="28"/>
        </w:rPr>
        <w:t>，</w:t>
      </w:r>
      <w:r>
        <w:rPr>
          <w:rFonts w:ascii="仿宋_GB2312" w:eastAsia="仿宋_GB2312" w:hint="eastAsia"/>
          <w:sz w:val="28"/>
          <w:szCs w:val="28"/>
        </w:rPr>
        <w:t>将会从大数据更多体现杭州市能源消耗控制和节能减排目标的实现。</w:t>
      </w:r>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3、有利于营造节能产业发展的市场环境</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通过推行合同能源管理，探索绿色金融服务，可以解决合同能源管理公司的贷款需求。另外通过扶持合同能源管理公司、节能量核定机构等市场主体，逐步培育建筑节能市场，激发市场主体参与建筑节能改造的动力。</w:t>
      </w:r>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4、有助于推广全社会的节能行动</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在市建委的牵头组织下，事前充分深入调研、专家论证、民意征集，召集财政、机关事务管理局、教育局、公共建筑业主等各方协商，完成项目摸底调查，讨论资金补助落实及合同能源管理的实施等问题，为编制《实施方案》，提高可行性、可操作性做好准备。各区、县（市）作为责任单位负责具体落实，同时也配套一定比例的补助补助资金，加强了属地管理和责任。最后，加强了对相关行业管理部门、从业人员和社会大众的宣贯，通过讲座、</w:t>
      </w:r>
      <w:proofErr w:type="gramStart"/>
      <w:r>
        <w:rPr>
          <w:rFonts w:ascii="仿宋_GB2312" w:eastAsia="仿宋_GB2312" w:hint="eastAsia"/>
          <w:sz w:val="28"/>
          <w:szCs w:val="28"/>
        </w:rPr>
        <w:t>微信公众号</w:t>
      </w:r>
      <w:proofErr w:type="gramEnd"/>
      <w:r>
        <w:rPr>
          <w:rFonts w:ascii="仿宋_GB2312" w:eastAsia="仿宋_GB2312" w:hint="eastAsia"/>
          <w:sz w:val="28"/>
          <w:szCs w:val="28"/>
        </w:rPr>
        <w:t>、门户网站等进行项目征集、培训、专题宣传，在《实施方案》推进中发动全社会开展节能行动。</w:t>
      </w:r>
    </w:p>
    <w:p w:rsidR="00BE1972" w:rsidRDefault="00CF449E">
      <w:pPr>
        <w:pStyle w:val="2"/>
        <w:ind w:firstLineChars="200" w:firstLine="640"/>
        <w:rPr>
          <w:rFonts w:ascii="仿宋_GB2312" w:eastAsia="仿宋_GB2312"/>
          <w:b w:val="0"/>
        </w:rPr>
      </w:pPr>
      <w:bookmarkStart w:id="10" w:name="_Toc20600"/>
      <w:r>
        <w:rPr>
          <w:rFonts w:ascii="仿宋_GB2312" w:eastAsia="仿宋_GB2312" w:hint="eastAsia"/>
          <w:b w:val="0"/>
        </w:rPr>
        <w:t>（二）</w:t>
      </w:r>
      <w:r>
        <w:rPr>
          <w:rFonts w:ascii="仿宋_GB2312" w:eastAsia="仿宋_GB2312" w:hint="eastAsia"/>
        </w:rPr>
        <w:t>下一步建议</w:t>
      </w:r>
      <w:bookmarkEnd w:id="10"/>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1、开展多样的财政激励机制，调动市场积极性</w:t>
      </w:r>
    </w:p>
    <w:p w:rsidR="00BE1972" w:rsidRDefault="00CF449E">
      <w:pPr>
        <w:ind w:firstLineChars="200" w:firstLine="560"/>
        <w:rPr>
          <w:rFonts w:ascii="仿宋_GB2312" w:eastAsia="仿宋_GB2312"/>
          <w:sz w:val="28"/>
          <w:szCs w:val="28"/>
        </w:rPr>
      </w:pPr>
      <w:r>
        <w:rPr>
          <w:rFonts w:ascii="仿宋_GB2312" w:eastAsia="仿宋_GB2312" w:hint="eastAsia"/>
          <w:bCs/>
          <w:sz w:val="28"/>
          <w:szCs w:val="28"/>
        </w:rPr>
        <w:t>现阶段杭州市面对公共建筑能效提升的激励手段为财政直接补贴，相关配套节能改造补助资金为每平方米建筑面积不超过30元</w:t>
      </w:r>
      <w:r>
        <w:rPr>
          <w:rFonts w:eastAsia="仿宋_GB2312" w:hint="eastAsia"/>
          <w:bCs/>
          <w:sz w:val="28"/>
          <w:szCs w:val="28"/>
        </w:rPr>
        <w:t>。建议下一步开展多样的财政激励政策研究，如</w:t>
      </w:r>
      <w:r>
        <w:rPr>
          <w:rFonts w:ascii="仿宋_GB2312" w:eastAsia="仿宋_GB2312" w:hint="eastAsia"/>
          <w:sz w:val="28"/>
          <w:szCs w:val="28"/>
        </w:rPr>
        <w:t>针对公共建筑业主的税收优惠、用能电价优惠政策；鼓励节能改造实施主体开展技术研发的税收优惠政策；扶持合同能源管理公司的贷款政策优惠等，为参与节能改造的各方提供切实便利，为激活市场主体提供保障。</w:t>
      </w:r>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2、加强能力建设，提供技术保障</w:t>
      </w:r>
    </w:p>
    <w:p w:rsidR="00BE1972" w:rsidRDefault="00CF449E">
      <w:pPr>
        <w:ind w:firstLineChars="200" w:firstLine="560"/>
        <w:rPr>
          <w:rFonts w:ascii="仿宋_GB2312" w:eastAsia="仿宋_GB2312"/>
          <w:sz w:val="28"/>
          <w:szCs w:val="28"/>
        </w:rPr>
      </w:pPr>
      <w:r>
        <w:rPr>
          <w:rFonts w:ascii="仿宋_GB2312" w:eastAsia="仿宋_GB2312" w:hint="eastAsia"/>
          <w:sz w:val="28"/>
          <w:szCs w:val="28"/>
        </w:rPr>
        <w:t>为促进公共建筑能效提升行业的整体能力提升，建议产学研结合开展公共建筑节能改造重点关键共性技术联合攻关研究，颁布相关指导意见和政策措施，为进一步提升技术能力，开展综合改造奠定基础。同时，建议重点加强对节能改造公司、合同能源管理公司、节能量核定机构等服务机构的能力建设，培养行业领军人才。加强长三角地区同行业经验交流互动，为杭州市公共建筑节能改造的长足发展注入活力。</w:t>
      </w:r>
    </w:p>
    <w:p w:rsidR="00BE1972" w:rsidRDefault="00CF449E">
      <w:pPr>
        <w:ind w:firstLineChars="200" w:firstLine="562"/>
        <w:rPr>
          <w:rFonts w:ascii="仿宋_GB2312" w:eastAsia="仿宋_GB2312"/>
          <w:b/>
          <w:bCs/>
          <w:sz w:val="28"/>
          <w:szCs w:val="28"/>
        </w:rPr>
      </w:pPr>
      <w:r>
        <w:rPr>
          <w:rFonts w:ascii="仿宋_GB2312" w:eastAsia="仿宋_GB2312" w:hint="eastAsia"/>
          <w:b/>
          <w:bCs/>
          <w:sz w:val="28"/>
          <w:szCs w:val="28"/>
        </w:rPr>
        <w:t>3、加大宣传力度，动员全社会共同参与</w:t>
      </w:r>
    </w:p>
    <w:p w:rsidR="00BE1972" w:rsidRDefault="00CF449E">
      <w:pPr>
        <w:ind w:firstLineChars="200" w:firstLine="560"/>
        <w:rPr>
          <w:rFonts w:ascii="仿宋_GB2312" w:eastAsia="仿宋_GB2312"/>
          <w:sz w:val="28"/>
          <w:szCs w:val="28"/>
        </w:rPr>
      </w:pPr>
      <w:r>
        <w:rPr>
          <w:rFonts w:ascii="仿宋_GB2312" w:eastAsia="仿宋_GB2312" w:hint="eastAsia"/>
          <w:bCs/>
          <w:sz w:val="28"/>
          <w:szCs w:val="28"/>
        </w:rPr>
        <w:t>各部门、区（市、县）要动员社会各方力量，开展形式多样、内容丰富的绿色建筑与建筑节能宣传活动。</w:t>
      </w:r>
      <w:r>
        <w:rPr>
          <w:rFonts w:ascii="仿宋_GB2312" w:eastAsia="仿宋_GB2312" w:hint="eastAsia"/>
          <w:sz w:val="28"/>
          <w:szCs w:val="28"/>
        </w:rPr>
        <w:t>通过多种途径，利用报纸、门户网站、</w:t>
      </w:r>
      <w:proofErr w:type="gramStart"/>
      <w:r>
        <w:rPr>
          <w:rFonts w:ascii="仿宋_GB2312" w:eastAsia="仿宋_GB2312" w:hint="eastAsia"/>
          <w:sz w:val="28"/>
          <w:szCs w:val="28"/>
        </w:rPr>
        <w:t>微信公众号</w:t>
      </w:r>
      <w:proofErr w:type="gramEnd"/>
      <w:r>
        <w:rPr>
          <w:rFonts w:ascii="仿宋_GB2312" w:eastAsia="仿宋_GB2312" w:hint="eastAsia"/>
          <w:sz w:val="28"/>
          <w:szCs w:val="28"/>
        </w:rPr>
        <w:t>等媒体广泛宣传公共建筑节能改造的法规制度、政策措施、典型案例和发展成效，树立节能意识，引导社会参与节能改造。充分发挥行业协会作用，编写节能改造相关科普读物，开展经常性培训教育活动，引导群众崇尚节能降耗的绿色生活方式。</w:t>
      </w:r>
    </w:p>
    <w:p w:rsidR="00BE1972" w:rsidRDefault="00BE1972"/>
    <w:p w:rsidR="00BE1972" w:rsidRDefault="00BE1972">
      <w:pPr>
        <w:rPr>
          <w:rFonts w:ascii="仿宋_GB2312" w:eastAsia="仿宋_GB2312"/>
          <w:b/>
          <w:color w:val="FF0000"/>
          <w:sz w:val="28"/>
          <w:szCs w:val="28"/>
        </w:rPr>
      </w:pPr>
    </w:p>
    <w:sectPr w:rsidR="00BE1972">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9F" w:rsidRDefault="0040399F">
      <w:r>
        <w:separator/>
      </w:r>
    </w:p>
  </w:endnote>
  <w:endnote w:type="continuationSeparator" w:id="0">
    <w:p w:rsidR="0040399F" w:rsidRDefault="0040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72" w:rsidRDefault="00BE1972">
    <w:pPr>
      <w:pStyle w:val="a5"/>
      <w:jc w:val="center"/>
    </w:pPr>
  </w:p>
  <w:p w:rsidR="00BE1972" w:rsidRDefault="00BE19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10560"/>
    </w:sdtPr>
    <w:sdtEndPr/>
    <w:sdtContent>
      <w:p w:rsidR="00BE1972" w:rsidRDefault="00CF449E">
        <w:pPr>
          <w:pStyle w:val="a5"/>
          <w:jc w:val="center"/>
        </w:pPr>
        <w:r>
          <w:fldChar w:fldCharType="begin"/>
        </w:r>
        <w:r>
          <w:instrText>PAGE   \* MERGEFORMAT</w:instrText>
        </w:r>
        <w:r>
          <w:fldChar w:fldCharType="separate"/>
        </w:r>
        <w:r w:rsidR="0076567A" w:rsidRPr="0076567A">
          <w:rPr>
            <w:noProof/>
            <w:lang w:val="zh-CN"/>
          </w:rPr>
          <w:t>1</w:t>
        </w:r>
        <w:r>
          <w:fldChar w:fldCharType="end"/>
        </w:r>
      </w:p>
    </w:sdtContent>
  </w:sdt>
  <w:p w:rsidR="00BE1972" w:rsidRDefault="00BE19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9F" w:rsidRDefault="0040399F">
      <w:r>
        <w:separator/>
      </w:r>
    </w:p>
  </w:footnote>
  <w:footnote w:type="continuationSeparator" w:id="0">
    <w:p w:rsidR="0040399F" w:rsidRDefault="0040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B4650"/>
    <w:rsid w:val="00037C30"/>
    <w:rsid w:val="000A39E5"/>
    <w:rsid w:val="000E2840"/>
    <w:rsid w:val="000E36DA"/>
    <w:rsid w:val="00185BAD"/>
    <w:rsid w:val="001B1B76"/>
    <w:rsid w:val="001E6DF8"/>
    <w:rsid w:val="00290164"/>
    <w:rsid w:val="002C507E"/>
    <w:rsid w:val="002E68C1"/>
    <w:rsid w:val="002F049D"/>
    <w:rsid w:val="0030119B"/>
    <w:rsid w:val="00315621"/>
    <w:rsid w:val="00323E76"/>
    <w:rsid w:val="00351B1E"/>
    <w:rsid w:val="003602F9"/>
    <w:rsid w:val="00362193"/>
    <w:rsid w:val="003A733D"/>
    <w:rsid w:val="003C5003"/>
    <w:rsid w:val="0040399F"/>
    <w:rsid w:val="00421267"/>
    <w:rsid w:val="00533BA5"/>
    <w:rsid w:val="005E3211"/>
    <w:rsid w:val="006452FB"/>
    <w:rsid w:val="00673B0E"/>
    <w:rsid w:val="006F1987"/>
    <w:rsid w:val="00705A77"/>
    <w:rsid w:val="0076567A"/>
    <w:rsid w:val="00801D37"/>
    <w:rsid w:val="00827FC2"/>
    <w:rsid w:val="008513DA"/>
    <w:rsid w:val="00872988"/>
    <w:rsid w:val="00886A69"/>
    <w:rsid w:val="008C18E3"/>
    <w:rsid w:val="008D743F"/>
    <w:rsid w:val="008F1D7A"/>
    <w:rsid w:val="00935777"/>
    <w:rsid w:val="00960A5B"/>
    <w:rsid w:val="00983E74"/>
    <w:rsid w:val="00A23D17"/>
    <w:rsid w:val="00A32745"/>
    <w:rsid w:val="00A87FE3"/>
    <w:rsid w:val="00AA67A6"/>
    <w:rsid w:val="00AC40A3"/>
    <w:rsid w:val="00B43A76"/>
    <w:rsid w:val="00B6065D"/>
    <w:rsid w:val="00B70D6D"/>
    <w:rsid w:val="00BE1972"/>
    <w:rsid w:val="00BF0D17"/>
    <w:rsid w:val="00C12219"/>
    <w:rsid w:val="00C52414"/>
    <w:rsid w:val="00C93E86"/>
    <w:rsid w:val="00C956DE"/>
    <w:rsid w:val="00CF449E"/>
    <w:rsid w:val="00D22530"/>
    <w:rsid w:val="00D3540E"/>
    <w:rsid w:val="00DF38AF"/>
    <w:rsid w:val="00E27D07"/>
    <w:rsid w:val="00E5262A"/>
    <w:rsid w:val="00EB23B5"/>
    <w:rsid w:val="00F161F1"/>
    <w:rsid w:val="00F374D0"/>
    <w:rsid w:val="00F52FEA"/>
    <w:rsid w:val="00F90750"/>
    <w:rsid w:val="046656AB"/>
    <w:rsid w:val="051137D5"/>
    <w:rsid w:val="058D6BA6"/>
    <w:rsid w:val="0789467D"/>
    <w:rsid w:val="0A015CFC"/>
    <w:rsid w:val="0ACB665F"/>
    <w:rsid w:val="0B0D7580"/>
    <w:rsid w:val="0B397596"/>
    <w:rsid w:val="0C856335"/>
    <w:rsid w:val="0C895318"/>
    <w:rsid w:val="0DFA72CB"/>
    <w:rsid w:val="0E176F32"/>
    <w:rsid w:val="0F152C6C"/>
    <w:rsid w:val="0F494792"/>
    <w:rsid w:val="121122A2"/>
    <w:rsid w:val="13481494"/>
    <w:rsid w:val="1359462E"/>
    <w:rsid w:val="135C1908"/>
    <w:rsid w:val="13BD654F"/>
    <w:rsid w:val="13E40CB0"/>
    <w:rsid w:val="140A01BD"/>
    <w:rsid w:val="140C427A"/>
    <w:rsid w:val="14176C50"/>
    <w:rsid w:val="152D15A3"/>
    <w:rsid w:val="158105B6"/>
    <w:rsid w:val="16FD3C56"/>
    <w:rsid w:val="178D1943"/>
    <w:rsid w:val="18534C20"/>
    <w:rsid w:val="18DA240F"/>
    <w:rsid w:val="1A1B56EE"/>
    <w:rsid w:val="1A297AF2"/>
    <w:rsid w:val="1A372F54"/>
    <w:rsid w:val="1A3B4650"/>
    <w:rsid w:val="1B9C2A73"/>
    <w:rsid w:val="1CAC22CB"/>
    <w:rsid w:val="1F431DEB"/>
    <w:rsid w:val="1FA52312"/>
    <w:rsid w:val="20C31426"/>
    <w:rsid w:val="2168218A"/>
    <w:rsid w:val="21D45238"/>
    <w:rsid w:val="231F7AD3"/>
    <w:rsid w:val="23DB0E3E"/>
    <w:rsid w:val="262F0F82"/>
    <w:rsid w:val="27A0112C"/>
    <w:rsid w:val="27A217D7"/>
    <w:rsid w:val="27AC79BE"/>
    <w:rsid w:val="27CE7592"/>
    <w:rsid w:val="27EF348E"/>
    <w:rsid w:val="280818E0"/>
    <w:rsid w:val="29487627"/>
    <w:rsid w:val="29660EA9"/>
    <w:rsid w:val="29AB7563"/>
    <w:rsid w:val="2AA85D4F"/>
    <w:rsid w:val="2B2A67E7"/>
    <w:rsid w:val="2B8A1E15"/>
    <w:rsid w:val="2C8E49F8"/>
    <w:rsid w:val="2D4F13CC"/>
    <w:rsid w:val="2D922824"/>
    <w:rsid w:val="2EA02994"/>
    <w:rsid w:val="2EA466F0"/>
    <w:rsid w:val="2F4D279A"/>
    <w:rsid w:val="2F8845A5"/>
    <w:rsid w:val="31603E58"/>
    <w:rsid w:val="319850E2"/>
    <w:rsid w:val="32270F88"/>
    <w:rsid w:val="332E24B5"/>
    <w:rsid w:val="33AA0F85"/>
    <w:rsid w:val="342C35F3"/>
    <w:rsid w:val="349505D6"/>
    <w:rsid w:val="34B36AAD"/>
    <w:rsid w:val="360A4362"/>
    <w:rsid w:val="369177DD"/>
    <w:rsid w:val="36EE755E"/>
    <w:rsid w:val="3A591873"/>
    <w:rsid w:val="3B2D2F1D"/>
    <w:rsid w:val="3BC2353E"/>
    <w:rsid w:val="3CB34150"/>
    <w:rsid w:val="3E72099A"/>
    <w:rsid w:val="3EB00177"/>
    <w:rsid w:val="3F564E94"/>
    <w:rsid w:val="3FCB4BC7"/>
    <w:rsid w:val="409D4BBC"/>
    <w:rsid w:val="40C94DB3"/>
    <w:rsid w:val="41721EA6"/>
    <w:rsid w:val="419A3170"/>
    <w:rsid w:val="43016D32"/>
    <w:rsid w:val="438E1474"/>
    <w:rsid w:val="43EF35CB"/>
    <w:rsid w:val="448776CE"/>
    <w:rsid w:val="466866B6"/>
    <w:rsid w:val="466A2F59"/>
    <w:rsid w:val="4694453F"/>
    <w:rsid w:val="46D61255"/>
    <w:rsid w:val="48074EF1"/>
    <w:rsid w:val="4BFF2432"/>
    <w:rsid w:val="4C3D2959"/>
    <w:rsid w:val="4CC652EE"/>
    <w:rsid w:val="4CFA4828"/>
    <w:rsid w:val="4D1232FC"/>
    <w:rsid w:val="51DB1A91"/>
    <w:rsid w:val="51E259AB"/>
    <w:rsid w:val="549F2BDB"/>
    <w:rsid w:val="55D975FC"/>
    <w:rsid w:val="565B29D2"/>
    <w:rsid w:val="57044A5A"/>
    <w:rsid w:val="572F37C1"/>
    <w:rsid w:val="57D90031"/>
    <w:rsid w:val="58B87A81"/>
    <w:rsid w:val="5AAE45F3"/>
    <w:rsid w:val="5BD01617"/>
    <w:rsid w:val="5D4B2463"/>
    <w:rsid w:val="5D7B3189"/>
    <w:rsid w:val="5DF73EDB"/>
    <w:rsid w:val="5E37504F"/>
    <w:rsid w:val="5E4312C8"/>
    <w:rsid w:val="5EF8755C"/>
    <w:rsid w:val="609C567B"/>
    <w:rsid w:val="60EF465D"/>
    <w:rsid w:val="62437EC9"/>
    <w:rsid w:val="624A49C5"/>
    <w:rsid w:val="62E52283"/>
    <w:rsid w:val="630166F0"/>
    <w:rsid w:val="63346E67"/>
    <w:rsid w:val="63AF2189"/>
    <w:rsid w:val="650D0520"/>
    <w:rsid w:val="65C53465"/>
    <w:rsid w:val="684A7B4C"/>
    <w:rsid w:val="688305A3"/>
    <w:rsid w:val="69042034"/>
    <w:rsid w:val="694533B7"/>
    <w:rsid w:val="698D13A2"/>
    <w:rsid w:val="699D3FCA"/>
    <w:rsid w:val="69A35B1F"/>
    <w:rsid w:val="69E8130E"/>
    <w:rsid w:val="6A8C34A8"/>
    <w:rsid w:val="6BA767E5"/>
    <w:rsid w:val="6D0610EE"/>
    <w:rsid w:val="6D8262E2"/>
    <w:rsid w:val="6FFD64FB"/>
    <w:rsid w:val="7004557F"/>
    <w:rsid w:val="705564FE"/>
    <w:rsid w:val="72F42A39"/>
    <w:rsid w:val="75201E3B"/>
    <w:rsid w:val="756F5E01"/>
    <w:rsid w:val="784D738E"/>
    <w:rsid w:val="79F5089C"/>
    <w:rsid w:val="7AA2438A"/>
    <w:rsid w:val="7D8E62D4"/>
    <w:rsid w:val="7F207875"/>
    <w:rsid w:val="7F2535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paragraph" w:styleId="aa">
    <w:name w:val="List Paragraph"/>
    <w:basedOn w:val="a"/>
    <w:uiPriority w:val="34"/>
    <w:qFormat/>
    <w:pPr>
      <w:ind w:firstLineChars="200" w:firstLine="420"/>
    </w:pPr>
  </w:style>
  <w:style w:type="character" w:customStyle="1" w:styleId="1Char">
    <w:name w:val="标题 1 Char"/>
    <w:basedOn w:val="a0"/>
    <w:link w:val="1"/>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semiHidden/>
    <w:qFormat/>
    <w:rPr>
      <w:b/>
      <w:bCs/>
      <w:kern w:val="2"/>
      <w:sz w:val="32"/>
      <w:szCs w:val="32"/>
    </w:rPr>
  </w:style>
  <w:style w:type="character" w:customStyle="1" w:styleId="Char">
    <w:name w:val="日期 Char"/>
    <w:basedOn w:val="a0"/>
    <w:link w:val="a3"/>
    <w:qFormat/>
    <w:rPr>
      <w:kern w:val="2"/>
      <w:sz w:val="21"/>
      <w:szCs w:val="24"/>
    </w:rPr>
  </w:style>
  <w:style w:type="character" w:customStyle="1" w:styleId="Char0">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paragraph" w:styleId="aa">
    <w:name w:val="List Paragraph"/>
    <w:basedOn w:val="a"/>
    <w:uiPriority w:val="34"/>
    <w:qFormat/>
    <w:pPr>
      <w:ind w:firstLineChars="200" w:firstLine="420"/>
    </w:pPr>
  </w:style>
  <w:style w:type="character" w:customStyle="1" w:styleId="1Char">
    <w:name w:val="标题 1 Char"/>
    <w:basedOn w:val="a0"/>
    <w:link w:val="1"/>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semiHidden/>
    <w:qFormat/>
    <w:rPr>
      <w:b/>
      <w:bCs/>
      <w:kern w:val="2"/>
      <w:sz w:val="32"/>
      <w:szCs w:val="32"/>
    </w:rPr>
  </w:style>
  <w:style w:type="character" w:customStyle="1" w:styleId="Char">
    <w:name w:val="日期 Char"/>
    <w:basedOn w:val="a0"/>
    <w:link w:val="a3"/>
    <w:qFormat/>
    <w:rPr>
      <w:kern w:val="2"/>
      <w:sz w:val="21"/>
      <w:szCs w:val="24"/>
    </w:rPr>
  </w:style>
  <w:style w:type="character" w:customStyle="1" w:styleId="Char0">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E6836-401E-4CBB-A0F3-6D4B4DC9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1081</Words>
  <Characters>6166</Characters>
  <Application>Microsoft Office Word</Application>
  <DocSecurity>0</DocSecurity>
  <Lines>51</Lines>
  <Paragraphs>14</Paragraphs>
  <ScaleCrop>false</ScaleCrop>
  <Company>Microsoft</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应晓儿</dc:creator>
  <cp:lastModifiedBy>范月莹</cp:lastModifiedBy>
  <cp:revision>2</cp:revision>
  <dcterms:created xsi:type="dcterms:W3CDTF">2020-12-22T01:15:00Z</dcterms:created>
  <dcterms:modified xsi:type="dcterms:W3CDTF">2020-12-22T01:15:00Z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