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bookmarkStart w:id="0" w:name="_GoBack"/>
      <w:r>
        <w:rPr>
          <w:rFonts w:hint="eastAsia"/>
        </w:rPr>
        <w:t>附件3：</w:t>
      </w:r>
    </w:p>
    <w:p>
      <w:pPr>
        <w:widowControl/>
        <w:spacing w:line="640" w:lineRule="exact"/>
        <w:ind w:firstLine="1606" w:firstLineChars="500"/>
        <w:jc w:val="left"/>
        <w:rPr>
          <w:rFonts w:ascii="仿宋" w:hAnsi="仿宋" w:eastAsia="仿宋"/>
          <w:b/>
          <w:szCs w:val="32"/>
        </w:rPr>
      </w:pPr>
      <w:r>
        <w:rPr>
          <w:rFonts w:hint="eastAsia" w:ascii="仿宋" w:hAnsi="仿宋" w:eastAsia="仿宋"/>
          <w:b/>
          <w:szCs w:val="32"/>
        </w:rPr>
        <w:t>工程总承包综合评估法增设商务标评分方案</w:t>
      </w:r>
      <w:bookmarkEnd w:id="0"/>
    </w:p>
    <w:p>
      <w:pPr>
        <w:spacing w:line="560" w:lineRule="exact"/>
        <w:rPr>
          <w:b/>
        </w:rPr>
      </w:pPr>
      <w:r>
        <w:rPr>
          <w:rFonts w:hint="eastAsia"/>
          <w:b/>
        </w:rPr>
        <w:t>方案二：</w:t>
      </w:r>
    </w:p>
    <w:p>
      <w:pPr>
        <w:spacing w:line="540" w:lineRule="exact"/>
        <w:ind w:firstLine="643" w:firstLineChars="200"/>
        <w:rPr>
          <w:rFonts w:hint="eastAsia" w:ascii="仿宋" w:hAnsi="仿宋" w:eastAsia="仿宋"/>
          <w:szCs w:val="32"/>
        </w:rPr>
      </w:pPr>
      <w:r>
        <w:rPr>
          <w:rFonts w:hint="eastAsia" w:ascii="仿宋" w:hAnsi="仿宋" w:eastAsia="仿宋"/>
          <w:b/>
          <w:szCs w:val="32"/>
        </w:rPr>
        <w:t>以通过商务评审的有效投标报价中不低于合理低价的最低报价作为最佳报价</w:t>
      </w:r>
      <w:r>
        <w:rPr>
          <w:rFonts w:hint="eastAsia" w:ascii="仿宋" w:hAnsi="仿宋" w:eastAsia="仿宋"/>
          <w:szCs w:val="32"/>
        </w:rPr>
        <w:t>。</w:t>
      </w:r>
    </w:p>
    <w:p>
      <w:pPr>
        <w:spacing w:line="540" w:lineRule="exact"/>
        <w:ind w:firstLine="643" w:firstLineChars="200"/>
        <w:rPr>
          <w:rFonts w:ascii="仿宋" w:hAnsi="仿宋" w:eastAsia="仿宋"/>
          <w:b/>
          <w:szCs w:val="32"/>
        </w:rPr>
      </w:pPr>
      <w:r>
        <w:rPr>
          <w:rFonts w:hint="eastAsia" w:ascii="仿宋" w:hAnsi="仿宋" w:eastAsia="仿宋"/>
          <w:b/>
          <w:szCs w:val="32"/>
        </w:rPr>
        <w:t>合理低价的计算：</w:t>
      </w:r>
    </w:p>
    <w:p>
      <w:pPr>
        <w:spacing w:line="540" w:lineRule="exact"/>
        <w:ind w:firstLine="640" w:firstLineChars="200"/>
        <w:rPr>
          <w:rFonts w:ascii="仿宋" w:hAnsi="仿宋" w:eastAsia="仿宋"/>
          <w:szCs w:val="32"/>
        </w:rPr>
      </w:pPr>
      <w:r>
        <w:rPr>
          <w:rFonts w:hint="eastAsia" w:ascii="仿宋" w:hAnsi="仿宋" w:eastAsia="仿宋"/>
          <w:szCs w:val="32"/>
        </w:rPr>
        <w:t>有效投标报价由高至低依次排序，剔除价格最高的P家和最低的Q家（数量四舍五入取整），然后得出一次算术平均值K，下浮一定比例后即为合理最低价，其中，专业工程暂估价和暂列金额不作下浮计算；当进入合理最低价计算的投标人≤5家，则不再剔除P家和Q家。</w:t>
      </w:r>
    </w:p>
    <w:p>
      <w:pPr>
        <w:spacing w:line="540" w:lineRule="exact"/>
        <w:ind w:firstLine="640" w:firstLineChars="200"/>
        <w:rPr>
          <w:rFonts w:ascii="仿宋" w:hAnsi="仿宋" w:eastAsia="仿宋"/>
          <w:szCs w:val="32"/>
        </w:rPr>
      </w:pPr>
      <w:r>
        <w:rPr>
          <w:rFonts w:hint="eastAsia" w:ascii="仿宋" w:hAnsi="仿宋" w:eastAsia="仿宋"/>
          <w:szCs w:val="32"/>
        </w:rPr>
        <w:t>当按上述方案计算的一次算术平均值K＜招标控制价×L1时，则不再剔除价格最高的P家，重新计算得出一次算术平均值；当一次算术平均值K≧招标控制价×L2时，不再剔除价格最低的Q家，重新计算得出一次算术平均值。重新计算出的K值仍大于招标控制价×L2时，评标委员会应按竞争性不足否决所有投标处理。</w:t>
      </w:r>
    </w:p>
    <w:p>
      <w:pPr>
        <w:spacing w:line="540" w:lineRule="exact"/>
        <w:ind w:firstLine="640" w:firstLineChars="200"/>
        <w:rPr>
          <w:rFonts w:hint="eastAsia" w:ascii="仿宋" w:hAnsi="仿宋" w:eastAsia="仿宋"/>
          <w:szCs w:val="32"/>
        </w:rPr>
      </w:pPr>
      <w:r>
        <w:rPr>
          <w:rFonts w:hint="eastAsia" w:ascii="仿宋" w:hAnsi="仿宋" w:eastAsia="仿宋"/>
          <w:szCs w:val="32"/>
        </w:rPr>
        <w:t>下浮比例抽取范围分别为房屋建筑2.5</w:t>
      </w:r>
      <w:r>
        <w:rPr>
          <w:rFonts w:ascii="仿宋" w:hAnsi="仿宋" w:eastAsia="仿宋"/>
          <w:szCs w:val="32"/>
        </w:rPr>
        <w:t>%-4%</w:t>
      </w:r>
      <w:r>
        <w:rPr>
          <w:rFonts w:hint="eastAsia" w:ascii="仿宋" w:hAnsi="仿宋" w:eastAsia="仿宋"/>
          <w:szCs w:val="32"/>
        </w:rPr>
        <w:t>、</w:t>
      </w:r>
      <w:r>
        <w:rPr>
          <w:rFonts w:ascii="仿宋" w:hAnsi="仿宋" w:eastAsia="仿宋"/>
          <w:szCs w:val="32"/>
        </w:rPr>
        <w:t>市政工程</w:t>
      </w:r>
      <w:r>
        <w:rPr>
          <w:rFonts w:hint="eastAsia" w:ascii="仿宋" w:hAnsi="仿宋" w:eastAsia="仿宋"/>
          <w:szCs w:val="32"/>
        </w:rPr>
        <w:t>2</w:t>
      </w:r>
      <w:r>
        <w:rPr>
          <w:rFonts w:ascii="仿宋" w:hAnsi="仿宋" w:eastAsia="仿宋"/>
          <w:szCs w:val="32"/>
        </w:rPr>
        <w:t>%-</w:t>
      </w:r>
      <w:r>
        <w:rPr>
          <w:rFonts w:hint="eastAsia" w:ascii="仿宋" w:hAnsi="仿宋" w:eastAsia="仿宋"/>
          <w:szCs w:val="32"/>
        </w:rPr>
        <w:t>5</w:t>
      </w:r>
      <w:r>
        <w:rPr>
          <w:rFonts w:ascii="仿宋" w:hAnsi="仿宋" w:eastAsia="仿宋"/>
          <w:szCs w:val="32"/>
        </w:rPr>
        <w:t>%，P、Q浮动率抽取范围分别为</w:t>
      </w:r>
      <w:r>
        <w:rPr>
          <w:rFonts w:hint="eastAsia" w:ascii="仿宋" w:hAnsi="仿宋" w:eastAsia="仿宋"/>
          <w:szCs w:val="32"/>
        </w:rPr>
        <w:t>15</w:t>
      </w:r>
      <w:r>
        <w:rPr>
          <w:rFonts w:ascii="仿宋" w:hAnsi="仿宋" w:eastAsia="仿宋"/>
          <w:szCs w:val="32"/>
        </w:rPr>
        <w:t>%-</w:t>
      </w:r>
      <w:r>
        <w:rPr>
          <w:rFonts w:hint="eastAsia" w:ascii="仿宋" w:hAnsi="仿宋" w:eastAsia="仿宋"/>
          <w:szCs w:val="32"/>
        </w:rPr>
        <w:t>25</w:t>
      </w:r>
      <w:r>
        <w:rPr>
          <w:rFonts w:ascii="仿宋" w:hAnsi="仿宋" w:eastAsia="仿宋"/>
          <w:szCs w:val="32"/>
        </w:rPr>
        <w:t>%、</w:t>
      </w:r>
      <w:r>
        <w:rPr>
          <w:rFonts w:hint="eastAsia" w:ascii="仿宋" w:hAnsi="仿宋" w:eastAsia="仿宋"/>
          <w:szCs w:val="32"/>
        </w:rPr>
        <w:t>1</w:t>
      </w:r>
      <w:r>
        <w:rPr>
          <w:rFonts w:ascii="仿宋" w:hAnsi="仿宋" w:eastAsia="仿宋"/>
          <w:szCs w:val="32"/>
        </w:rPr>
        <w:t>0%-2</w:t>
      </w:r>
      <w:r>
        <w:rPr>
          <w:rFonts w:hint="eastAsia" w:ascii="仿宋" w:hAnsi="仿宋" w:eastAsia="仿宋"/>
          <w:szCs w:val="32"/>
        </w:rPr>
        <w:t>0</w:t>
      </w:r>
      <w:r>
        <w:rPr>
          <w:rFonts w:ascii="仿宋" w:hAnsi="仿宋" w:eastAsia="仿宋"/>
          <w:szCs w:val="32"/>
        </w:rPr>
        <w:t>%，</w:t>
      </w:r>
      <w:r>
        <w:rPr>
          <w:rFonts w:hint="eastAsia" w:ascii="仿宋" w:hAnsi="仿宋" w:eastAsia="仿宋"/>
          <w:szCs w:val="32"/>
        </w:rPr>
        <w:t>上述百分率均在开标时随机抽取。</w:t>
      </w:r>
      <w:r>
        <w:rPr>
          <w:rFonts w:ascii="仿宋" w:hAnsi="仿宋" w:eastAsia="仿宋"/>
          <w:szCs w:val="32"/>
        </w:rPr>
        <w:t>L1、L2</w:t>
      </w:r>
      <w:r>
        <w:rPr>
          <w:rFonts w:hint="eastAsia" w:ascii="仿宋" w:hAnsi="仿宋" w:eastAsia="仿宋"/>
          <w:szCs w:val="32"/>
        </w:rPr>
        <w:t>的范围分别为</w:t>
      </w:r>
      <w:r>
        <w:rPr>
          <w:rFonts w:ascii="仿宋" w:hAnsi="仿宋" w:eastAsia="仿宋"/>
          <w:szCs w:val="32"/>
        </w:rPr>
        <w:t>83%-8</w:t>
      </w:r>
      <w:r>
        <w:rPr>
          <w:rFonts w:hint="eastAsia" w:ascii="仿宋" w:hAnsi="仿宋" w:eastAsia="仿宋"/>
          <w:szCs w:val="32"/>
        </w:rPr>
        <w:t>5</w:t>
      </w:r>
      <w:r>
        <w:rPr>
          <w:rFonts w:ascii="仿宋" w:hAnsi="仿宋" w:eastAsia="仿宋"/>
          <w:szCs w:val="32"/>
        </w:rPr>
        <w:t>%、9</w:t>
      </w:r>
      <w:r>
        <w:rPr>
          <w:rFonts w:hint="eastAsia" w:ascii="仿宋" w:hAnsi="仿宋" w:eastAsia="仿宋"/>
          <w:szCs w:val="32"/>
        </w:rPr>
        <w:t>5</w:t>
      </w:r>
      <w:r>
        <w:rPr>
          <w:rFonts w:ascii="仿宋" w:hAnsi="仿宋" w:eastAsia="仿宋"/>
          <w:szCs w:val="32"/>
        </w:rPr>
        <w:t>%-</w:t>
      </w:r>
      <w:r>
        <w:rPr>
          <w:rFonts w:hint="eastAsia" w:ascii="仿宋" w:hAnsi="仿宋" w:eastAsia="仿宋"/>
          <w:szCs w:val="32"/>
        </w:rPr>
        <w:t>98</w:t>
      </w:r>
      <w:r>
        <w:rPr>
          <w:rFonts w:ascii="仿宋" w:hAnsi="仿宋" w:eastAsia="仿宋"/>
          <w:szCs w:val="32"/>
        </w:rPr>
        <w:t>%，</w:t>
      </w:r>
      <w:r>
        <w:rPr>
          <w:rFonts w:hint="eastAsia" w:ascii="仿宋" w:hAnsi="仿宋" w:eastAsia="仿宋"/>
          <w:szCs w:val="32"/>
        </w:rPr>
        <w:t>由招标人在招标文件中具体明确。</w:t>
      </w:r>
    </w:p>
    <w:p>
      <w:pPr>
        <w:spacing w:line="560" w:lineRule="exact"/>
        <w:ind w:firstLine="640" w:firstLineChars="200"/>
        <w:rPr>
          <w:rFonts w:ascii="仿宋" w:hAnsi="仿宋" w:eastAsia="仿宋"/>
          <w:szCs w:val="32"/>
        </w:rPr>
      </w:pPr>
      <w:r>
        <w:rPr>
          <w:rFonts w:hint="eastAsia" w:ascii="仿宋" w:hAnsi="仿宋" w:eastAsia="仿宋"/>
          <w:szCs w:val="32"/>
        </w:rPr>
        <w:t>投标报价每高于最佳报价1%的扣0.5-1分, 具体由招标人在招标文件中明确，投标报价每高于最佳报价不足一个百分点时，使用直线插入法计算，保留两位小数。投标报价低于合理最低价的投标文件不再进行后续评审。</w:t>
      </w:r>
    </w:p>
    <w:p>
      <w:pPr>
        <w:spacing w:line="540" w:lineRule="exact"/>
        <w:ind w:firstLine="640" w:firstLineChars="200"/>
        <w:rPr>
          <w:rFonts w:ascii="仿宋" w:hAnsi="仿宋" w:eastAsia="仿宋"/>
          <w:szCs w:val="32"/>
        </w:rPr>
      </w:pPr>
    </w:p>
    <w:p>
      <w:pPr>
        <w:spacing w:line="560" w:lineRule="exact"/>
        <w:rPr>
          <w:rFonts w:ascii="Tahoma" w:hAnsi="Tahoma" w:eastAsia="微软雅黑"/>
          <w:b/>
          <w:kern w:val="0"/>
          <w:sz w:val="22"/>
          <w:szCs w:val="22"/>
        </w:rPr>
      </w:pPr>
      <w:r>
        <w:rPr>
          <w:rFonts w:hint="eastAsia"/>
          <w:b/>
        </w:rPr>
        <w:t>方案三：</w:t>
      </w:r>
      <w:r>
        <w:rPr>
          <w:rFonts w:ascii="仿宋" w:hAnsi="仿宋" w:eastAsia="仿宋"/>
          <w:b/>
          <w:szCs w:val="32"/>
        </w:rPr>
        <w:t xml:space="preserve">             </w:t>
      </w:r>
    </w:p>
    <w:p>
      <w:pPr>
        <w:spacing w:line="560" w:lineRule="exact"/>
        <w:ind w:firstLine="643" w:firstLineChars="200"/>
        <w:rPr>
          <w:rFonts w:ascii="仿宋" w:hAnsi="仿宋" w:eastAsia="仿宋"/>
          <w:b/>
          <w:szCs w:val="32"/>
        </w:rPr>
      </w:pPr>
      <w:r>
        <w:rPr>
          <w:rFonts w:hint="eastAsia" w:ascii="仿宋" w:hAnsi="仿宋" w:eastAsia="仿宋"/>
          <w:b/>
          <w:szCs w:val="32"/>
        </w:rPr>
        <w:t>以通过商务评审的有效投标报价的最低价作为最佳报价，如最低报价低于合理低价的，则以合理低价作为最佳                       报价。</w:t>
      </w:r>
    </w:p>
    <w:p>
      <w:pPr>
        <w:spacing w:line="560" w:lineRule="exact"/>
        <w:ind w:firstLine="643" w:firstLineChars="200"/>
        <w:rPr>
          <w:rFonts w:ascii="仿宋" w:hAnsi="仿宋" w:eastAsia="仿宋"/>
          <w:szCs w:val="32"/>
        </w:rPr>
      </w:pPr>
      <w:r>
        <w:rPr>
          <w:rFonts w:hint="eastAsia" w:ascii="仿宋" w:hAnsi="仿宋" w:eastAsia="仿宋"/>
          <w:b/>
          <w:szCs w:val="32"/>
        </w:rPr>
        <w:t>合理低价</w:t>
      </w:r>
      <w:r>
        <w:rPr>
          <w:rFonts w:hint="eastAsia" w:ascii="仿宋" w:hAnsi="仿宋" w:eastAsia="仿宋"/>
          <w:szCs w:val="32"/>
        </w:rPr>
        <w:t>=有效投标报价中不低于风险控制价的最低报价*K1+风险控制价*K2*（1—K1）</w:t>
      </w:r>
    </w:p>
    <w:p>
      <w:pPr>
        <w:spacing w:line="560" w:lineRule="exact"/>
        <w:ind w:firstLine="640" w:firstLineChars="200"/>
        <w:rPr>
          <w:rFonts w:ascii="仿宋" w:hAnsi="仿宋" w:eastAsia="仿宋"/>
          <w:szCs w:val="32"/>
        </w:rPr>
      </w:pPr>
      <w:r>
        <w:rPr>
          <w:rFonts w:hint="eastAsia" w:ascii="仿宋" w:hAnsi="仿宋" w:eastAsia="仿宋"/>
          <w:szCs w:val="32"/>
        </w:rPr>
        <w:t xml:space="preserve"> K1--权重系数，由招标人在开标会现场随机抽取确定，范围暂定为(0.7, 0.65, 0.6, 0.55, 0.5,0.45 , 0.4，具体应在招标文件中明确；</w:t>
      </w:r>
    </w:p>
    <w:p>
      <w:pPr>
        <w:spacing w:after="150" w:line="560" w:lineRule="exact"/>
        <w:ind w:firstLine="800" w:firstLineChars="250"/>
        <w:rPr>
          <w:rFonts w:ascii="仿宋" w:hAnsi="仿宋" w:eastAsia="仿宋"/>
          <w:szCs w:val="32"/>
        </w:rPr>
      </w:pPr>
      <w:r>
        <w:rPr>
          <w:rFonts w:hint="eastAsia" w:ascii="仿宋" w:hAnsi="仿宋" w:eastAsia="仿宋"/>
          <w:szCs w:val="32"/>
        </w:rPr>
        <w:t xml:space="preserve">K2--浮动系数，由招标人在开标会现场随机抽取，范围暂定为：房建工程：1.04～1.12；市政工程：1.02～1.10，浮动系数范围将根据市场情况动态调整。抽取值均匀分布且数量不少于9个，具体在招标文件中明确。 </w:t>
      </w:r>
    </w:p>
    <w:p>
      <w:pPr>
        <w:spacing w:line="560" w:lineRule="exact"/>
        <w:ind w:firstLine="640" w:firstLineChars="200"/>
        <w:rPr>
          <w:rFonts w:ascii="仿宋" w:hAnsi="仿宋" w:eastAsia="仿宋"/>
          <w:szCs w:val="32"/>
        </w:rPr>
      </w:pPr>
      <w:r>
        <w:rPr>
          <w:rFonts w:hint="eastAsia" w:ascii="仿宋" w:hAnsi="仿宋" w:eastAsia="仿宋"/>
          <w:szCs w:val="32"/>
        </w:rPr>
        <w:t>投标报价等于最佳报价时，商务得分为满分；投标报价偏离最佳报价±1%的扣0.5～1分；如投标报价低于风险控制价的，每低于最佳报价1%的扣1～2分；具体由招标人在招标文件中明确，投标报价每高于或低于最佳报价不足一个百分点时，使用直线插入法计算，保留两位小数。</w:t>
      </w:r>
    </w:p>
    <w:p>
      <w:pPr>
        <w:spacing w:line="560" w:lineRule="exact"/>
        <w:rPr>
          <w:rFonts w:ascii="Tahoma" w:hAnsi="Tahoma" w:eastAsia="微软雅黑" w:cstheme="minorBidi"/>
          <w:kern w:val="0"/>
          <w:sz w:val="22"/>
          <w:szCs w:val="22"/>
        </w:rPr>
      </w:pPr>
    </w:p>
    <w:p>
      <w:pPr>
        <w:spacing w:line="540" w:lineRule="exact"/>
        <w:ind w:firstLine="482" w:firstLineChars="150"/>
        <w:rPr>
          <w:rFonts w:ascii="仿宋" w:hAnsi="仿宋" w:eastAsia="仿宋"/>
          <w:b/>
          <w:szCs w:val="32"/>
        </w:rPr>
      </w:pPr>
      <w:r>
        <w:rPr>
          <w:rFonts w:ascii="仿宋" w:hAnsi="仿宋" w:eastAsia="仿宋"/>
          <w:b/>
          <w:szCs w:val="32"/>
        </w:rPr>
        <w:t>以上各种方案由招标人根据项目实际情况，特别要结合EPC招标项目需求的详实程度及概算编制准确程度选择使用。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11631"/>
    <w:rsid w:val="34911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2020-09-29T06:28:00Z</dcterms:created>
  <dc:creator>董梦佳</dc:creator>
  <cp:lastModifiedBy>董梦佳</cp:lastModifiedBy>
  <dcterms:modified xsi:type="dcterms:W3CDTF">2020-09-29T06:29:37Z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