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pPr>
      <w:bookmarkStart w:id="1" w:name="_GoBack"/>
      <w:bookmarkEnd w:id="1"/>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rPr>
          <w:rFonts w:ascii="黑体" w:hAnsi="宋体" w:eastAsia="黑体"/>
          <w:sz w:val="48"/>
          <w:szCs w:val="48"/>
        </w:rPr>
      </w:pPr>
      <w:r>
        <w:rPr>
          <w:rFonts w:hint="eastAsia" w:ascii="黑体" w:hAnsi="宋体" w:eastAsia="黑体"/>
          <w:sz w:val="48"/>
          <w:szCs w:val="48"/>
        </w:rPr>
        <w:t>杭州市民用建筑工程设计方案</w:t>
      </w:r>
    </w:p>
    <w:p>
      <w:pPr>
        <w:snapToGrid w:val="0"/>
        <w:spacing w:line="360" w:lineRule="auto"/>
        <w:jc w:val="center"/>
        <w:rPr>
          <w:rFonts w:hint="eastAsia" w:ascii="黑体" w:hAnsi="宋体" w:eastAsia="黑体"/>
          <w:sz w:val="48"/>
          <w:szCs w:val="48"/>
          <w:lang w:eastAsia="zh-CN"/>
        </w:rPr>
      </w:pPr>
      <w:r>
        <w:rPr>
          <w:rFonts w:hint="eastAsia" w:ascii="黑体" w:hAnsi="宋体" w:eastAsia="黑体"/>
          <w:sz w:val="48"/>
          <w:szCs w:val="48"/>
        </w:rPr>
        <w:t>“绿色建筑与节能设计”专篇设计内容与自审审查要点</w:t>
      </w:r>
      <w:r>
        <w:rPr>
          <w:rFonts w:hint="eastAsia" w:ascii="黑体" w:hAnsi="宋体" w:eastAsia="黑体"/>
          <w:sz w:val="48"/>
          <w:szCs w:val="48"/>
          <w:lang w:eastAsia="zh-CN"/>
        </w:rPr>
        <w:t>（</w:t>
      </w:r>
      <w:r>
        <w:rPr>
          <w:rFonts w:hint="eastAsia" w:ascii="黑体" w:hAnsi="宋体" w:eastAsia="黑体"/>
          <w:sz w:val="48"/>
          <w:szCs w:val="48"/>
          <w:lang w:val="en-US" w:eastAsia="zh-CN"/>
        </w:rPr>
        <w:t>2022版</w:t>
      </w:r>
      <w:r>
        <w:rPr>
          <w:rFonts w:hint="eastAsia" w:ascii="黑体" w:hAnsi="宋体" w:eastAsia="黑体"/>
          <w:sz w:val="48"/>
          <w:szCs w:val="48"/>
          <w:lang w:eastAsia="zh-CN"/>
        </w:rPr>
        <w:t>）</w:t>
      </w:r>
    </w:p>
    <w:p>
      <w:pPr>
        <w:snapToGrid w:val="0"/>
        <w:spacing w:line="360" w:lineRule="auto"/>
        <w:jc w:val="center"/>
        <w:rPr>
          <w:rFonts w:ascii="黑体" w:hAnsi="宋体" w:eastAsia="黑体"/>
          <w:sz w:val="48"/>
          <w:szCs w:val="48"/>
        </w:rPr>
      </w:pPr>
    </w:p>
    <w:p>
      <w:pPr>
        <w:snapToGrid w:val="0"/>
        <w:spacing w:line="360" w:lineRule="auto"/>
        <w:jc w:val="center"/>
        <w:rPr>
          <w:rFonts w:ascii="黑体" w:hAnsi="宋体" w:eastAsia="黑体"/>
          <w:sz w:val="48"/>
          <w:szCs w:val="48"/>
        </w:rPr>
      </w:pPr>
    </w:p>
    <w:p>
      <w:pPr>
        <w:snapToGrid w:val="0"/>
        <w:spacing w:line="360" w:lineRule="auto"/>
        <w:jc w:val="center"/>
        <w:rPr>
          <w:rFonts w:ascii="黑体" w:hAnsi="宋体" w:eastAsia="黑体"/>
          <w:sz w:val="48"/>
          <w:szCs w:val="48"/>
        </w:rPr>
      </w:pPr>
    </w:p>
    <w:p>
      <w:pPr>
        <w:snapToGrid w:val="0"/>
        <w:spacing w:line="360" w:lineRule="auto"/>
        <w:jc w:val="center"/>
        <w:rPr>
          <w:rFonts w:ascii="黑体" w:hAnsi="宋体" w:eastAsia="黑体"/>
          <w:sz w:val="48"/>
          <w:szCs w:val="48"/>
        </w:rPr>
      </w:pPr>
    </w:p>
    <w:p>
      <w:pPr>
        <w:snapToGrid w:val="0"/>
        <w:spacing w:line="360" w:lineRule="auto"/>
        <w:jc w:val="both"/>
        <w:rPr>
          <w:rFonts w:ascii="黑体" w:hAnsi="宋体" w:eastAsia="黑体"/>
          <w:sz w:val="48"/>
          <w:szCs w:val="48"/>
        </w:rPr>
      </w:pPr>
    </w:p>
    <w:p>
      <w:pPr>
        <w:snapToGrid w:val="0"/>
        <w:spacing w:line="360" w:lineRule="auto"/>
        <w:jc w:val="center"/>
        <w:rPr>
          <w:rFonts w:ascii="黑体" w:hAnsi="宋体" w:eastAsia="黑体"/>
          <w:sz w:val="36"/>
          <w:szCs w:val="36"/>
        </w:rPr>
      </w:pPr>
      <w:r>
        <w:rPr>
          <w:rFonts w:hint="eastAsia" w:ascii="黑体" w:hAnsi="宋体" w:eastAsia="黑体"/>
          <w:sz w:val="36"/>
          <w:szCs w:val="36"/>
        </w:rPr>
        <w:t>杭州市城乡建设委员会</w:t>
      </w:r>
    </w:p>
    <w:p>
      <w:pPr>
        <w:snapToGrid w:val="0"/>
        <w:spacing w:line="360" w:lineRule="auto"/>
        <w:jc w:val="center"/>
        <w:rPr>
          <w:rFonts w:hint="eastAsia" w:ascii="黑体" w:hAnsi="宋体" w:eastAsia="黑体"/>
          <w:sz w:val="36"/>
          <w:szCs w:val="36"/>
        </w:rPr>
      </w:pPr>
      <w:r>
        <w:rPr>
          <w:rFonts w:hint="eastAsia" w:ascii="黑体" w:hAnsi="宋体" w:eastAsia="黑体"/>
          <w:sz w:val="36"/>
          <w:szCs w:val="36"/>
          <w:lang w:val="en-US" w:eastAsia="zh-CN"/>
        </w:rPr>
        <w:t>2022</w:t>
      </w:r>
      <w:r>
        <w:rPr>
          <w:rFonts w:hint="eastAsia" w:ascii="黑体" w:hAnsi="宋体" w:eastAsia="黑体"/>
          <w:sz w:val="36"/>
          <w:szCs w:val="36"/>
        </w:rPr>
        <w:t>年</w:t>
      </w:r>
      <w:r>
        <w:rPr>
          <w:rFonts w:hint="eastAsia" w:ascii="黑体" w:hAnsi="宋体" w:eastAsia="黑体"/>
          <w:sz w:val="36"/>
          <w:szCs w:val="36"/>
          <w:lang w:val="en-US" w:eastAsia="zh-CN"/>
        </w:rPr>
        <w:t>8</w:t>
      </w:r>
      <w:r>
        <w:rPr>
          <w:rFonts w:hint="eastAsia" w:ascii="黑体" w:hAnsi="宋体" w:eastAsia="黑体"/>
          <w:sz w:val="36"/>
          <w:szCs w:val="36"/>
        </w:rPr>
        <w:t>月</w:t>
      </w:r>
    </w:p>
    <w:p>
      <w:pPr>
        <w:snapToGrid w:val="0"/>
        <w:spacing w:line="360" w:lineRule="auto"/>
        <w:jc w:val="center"/>
        <w:rPr>
          <w:rFonts w:hint="eastAsia" w:ascii="黑体" w:hAnsi="宋体" w:eastAsia="黑体"/>
          <w:sz w:val="36"/>
          <w:szCs w:val="36"/>
        </w:rPr>
      </w:pPr>
    </w:p>
    <w:p>
      <w:pPr>
        <w:snapToGrid w:val="0"/>
        <w:spacing w:line="360" w:lineRule="auto"/>
        <w:jc w:val="center"/>
        <w:rPr>
          <w:rFonts w:hint="eastAsia" w:ascii="黑体" w:hAnsi="宋体" w:eastAsia="黑体"/>
          <w:sz w:val="36"/>
          <w:szCs w:val="36"/>
        </w:rPr>
      </w:pPr>
    </w:p>
    <w:p>
      <w:pPr>
        <w:pStyle w:val="22"/>
        <w:widowControl/>
        <w:spacing w:before="0" w:beforeAutospacing="0" w:after="0" w:afterAutospacing="0" w:line="315" w:lineRule="atLeast"/>
        <w:jc w:val="center"/>
        <w:rPr>
          <w:rFonts w:hint="eastAsia" w:ascii="黑体" w:hAnsi="宋体" w:eastAsia="黑体" w:cs="黑体"/>
          <w:color w:val="333333"/>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pPr>
    </w:p>
    <w:p>
      <w:pPr>
        <w:pStyle w:val="22"/>
        <w:widowControl/>
        <w:spacing w:before="0" w:beforeAutospacing="0" w:after="0" w:afterAutospacing="0" w:line="315" w:lineRule="atLeast"/>
        <w:jc w:val="center"/>
        <w:rPr>
          <w:rFonts w:hint="eastAsia" w:ascii="黑体" w:hAnsi="宋体" w:eastAsia="黑体" w:cs="黑体"/>
          <w:color w:val="333333"/>
          <w:sz w:val="36"/>
          <w:szCs w:val="36"/>
        </w:rPr>
      </w:pPr>
    </w:p>
    <w:p>
      <w:pPr>
        <w:pStyle w:val="22"/>
        <w:widowControl/>
        <w:spacing w:before="0" w:beforeAutospacing="0" w:after="0" w:afterAutospacing="0" w:line="315" w:lineRule="atLeast"/>
        <w:jc w:val="center"/>
        <w:rPr>
          <w:rFonts w:hint="eastAsia" w:ascii="黑体" w:hAnsi="宋体" w:eastAsia="黑体" w:cs="黑体"/>
          <w:color w:val="333333"/>
          <w:sz w:val="36"/>
          <w:szCs w:val="36"/>
        </w:rPr>
      </w:pPr>
    </w:p>
    <w:p>
      <w:pPr>
        <w:pStyle w:val="22"/>
        <w:widowControl/>
        <w:spacing w:before="0" w:beforeAutospacing="0" w:after="0" w:afterAutospacing="0" w:line="315" w:lineRule="atLeast"/>
        <w:jc w:val="center"/>
      </w:pPr>
      <w:r>
        <w:rPr>
          <w:rFonts w:hint="eastAsia" w:ascii="黑体" w:hAnsi="宋体" w:eastAsia="黑体" w:cs="黑体"/>
          <w:color w:val="333333"/>
          <w:sz w:val="36"/>
          <w:szCs w:val="36"/>
        </w:rPr>
        <w:t>前言</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480" w:firstLineChars="200"/>
        <w:textAlignment w:val="auto"/>
        <w:rPr>
          <w:rFonts w:hint="eastAsia" w:ascii="宋体" w:hAnsi="宋体" w:eastAsia="宋体" w:cs="宋体"/>
        </w:rPr>
      </w:pPr>
      <w:r>
        <w:rPr>
          <w:rFonts w:hint="eastAsia" w:ascii="宋体" w:hAnsi="宋体" w:eastAsia="宋体" w:cs="宋体"/>
          <w:color w:val="333333"/>
        </w:rPr>
        <w:t>为贯彻落实国家、浙江省和杭州市碳达峰碳中和决策部署，促进我市绿色建筑高质量发展、提升建筑能效水平、降低建筑运行能耗及碳排放，规范我市绿色建筑与节能设计的管理和控制，根据《国务院办公厅关于开展工程建设项目审批制度改革试点的通知》（国办发</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sz w:val="24"/>
          <w:szCs w:val="24"/>
        </w:rPr>
        <w:t>2018</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sz w:val="24"/>
          <w:szCs w:val="24"/>
        </w:rPr>
        <w:t>33号）</w:t>
      </w:r>
      <w:r>
        <w:rPr>
          <w:rFonts w:hint="eastAsia" w:ascii="宋体" w:hAnsi="宋体" w:eastAsia="宋体" w:cs="宋体"/>
          <w:color w:val="333333"/>
        </w:rPr>
        <w:t>、《浙江省人民政府办公厅关于印发浙江省工程建设项目审批制度改革试点工作实施方案的通知》（浙政办</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sz w:val="24"/>
          <w:szCs w:val="24"/>
        </w:rPr>
        <w:t>2018</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rPr>
        <w:t>81号）、《杭州市工程建设项目审批制度改革试点实施方案》（杭政办函</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sz w:val="24"/>
          <w:szCs w:val="24"/>
        </w:rPr>
        <w:t>2018</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rPr>
        <w:t>111号）、《关于进一步完善杭州市民用建筑节能审查工作的实施意见》（杭建审改办</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sz w:val="24"/>
          <w:szCs w:val="24"/>
        </w:rPr>
        <w:t>2018</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rPr>
        <w:t>4号）等有关规定，受杭州市城乡建设委员会委托，浙江大学建筑设计研究院有限公司通过对国家及浙江省绿色建筑及节能评估相关政策和标准规范的研究分析，结合绿色建筑咨询与节能评估工作实践，对《绿色建筑评价标准》</w:t>
      </w:r>
      <w:r>
        <w:rPr>
          <w:rFonts w:hint="eastAsia" w:ascii="宋体" w:hAnsi="宋体" w:cs="宋体"/>
          <w:color w:val="333333"/>
          <w:lang w:eastAsia="zh-CN"/>
        </w:rPr>
        <w:t>（</w:t>
      </w:r>
      <w:r>
        <w:rPr>
          <w:rFonts w:hint="eastAsia" w:ascii="宋体" w:hAnsi="宋体" w:eastAsia="宋体" w:cs="宋体"/>
          <w:color w:val="333333"/>
        </w:rPr>
        <w:t>GB/T50378-2019</w:t>
      </w:r>
      <w:r>
        <w:rPr>
          <w:rFonts w:hint="eastAsia" w:ascii="宋体" w:hAnsi="宋体" w:cs="宋体"/>
          <w:color w:val="333333"/>
          <w:lang w:eastAsia="zh-CN"/>
        </w:rPr>
        <w:t>）</w:t>
      </w:r>
      <w:r>
        <w:rPr>
          <w:rFonts w:hint="eastAsia" w:ascii="宋体" w:hAnsi="宋体" w:eastAsia="宋体" w:cs="宋体"/>
          <w:color w:val="333333"/>
        </w:rPr>
        <w:t>、浙江省《绿色建筑设计标准》</w:t>
      </w:r>
      <w:r>
        <w:rPr>
          <w:rFonts w:hint="eastAsia" w:ascii="宋体" w:hAnsi="宋体" w:cs="宋体"/>
          <w:color w:val="333333"/>
          <w:lang w:eastAsia="zh-CN"/>
        </w:rPr>
        <w:t>（</w:t>
      </w:r>
      <w:r>
        <w:rPr>
          <w:rFonts w:hint="eastAsia" w:ascii="宋体" w:hAnsi="宋体" w:eastAsia="宋体" w:cs="宋体"/>
          <w:color w:val="333333"/>
        </w:rPr>
        <w:t>DB33/1092-2021</w:t>
      </w:r>
      <w:r>
        <w:rPr>
          <w:rFonts w:hint="eastAsia" w:ascii="宋体" w:hAnsi="宋体" w:cs="宋体"/>
          <w:color w:val="333333"/>
          <w:lang w:eastAsia="zh-CN"/>
        </w:rPr>
        <w:t>）</w:t>
      </w:r>
      <w:r>
        <w:rPr>
          <w:rFonts w:hint="eastAsia" w:ascii="宋体" w:hAnsi="宋体" w:eastAsia="宋体" w:cs="宋体"/>
          <w:color w:val="333333"/>
        </w:rPr>
        <w:t>中重点条文的技术要点进行对照梳理，对杭州市民用建筑建设工程设计方案或初步设计联审阶段中设计内容及自审审查要点予以明确。</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425"/>
        <w:textAlignment w:val="auto"/>
        <w:rPr>
          <w:rFonts w:hint="eastAsia" w:ascii="宋体" w:hAnsi="宋体" w:eastAsia="宋体" w:cs="宋体"/>
        </w:rPr>
      </w:pPr>
      <w:r>
        <w:rPr>
          <w:rFonts w:hint="eastAsia" w:ascii="宋体" w:hAnsi="宋体" w:eastAsia="宋体" w:cs="宋体"/>
          <w:color w:val="333333"/>
        </w:rPr>
        <w:t>《杭州市民用建筑工程设计方案“绿色建筑与节能设计”专篇设计内容与自审审查要点》</w:t>
      </w:r>
      <w:r>
        <w:rPr>
          <w:rFonts w:hint="eastAsia" w:ascii="宋体" w:hAnsi="宋体" w:cs="宋体"/>
          <w:color w:val="333333"/>
          <w:lang w:eastAsia="zh-CN"/>
        </w:rPr>
        <w:t>（</w:t>
      </w:r>
      <w:r>
        <w:rPr>
          <w:rFonts w:hint="eastAsia" w:ascii="宋体" w:hAnsi="宋体" w:cs="宋体"/>
          <w:color w:val="333333"/>
          <w:lang w:val="en-US" w:eastAsia="zh-CN"/>
        </w:rPr>
        <w:t>2022版</w:t>
      </w:r>
      <w:r>
        <w:rPr>
          <w:rFonts w:hint="eastAsia" w:ascii="宋体" w:hAnsi="宋体" w:cs="宋体"/>
          <w:color w:val="333333"/>
          <w:lang w:eastAsia="zh-CN"/>
        </w:rPr>
        <w:t>）</w:t>
      </w:r>
      <w:r>
        <w:rPr>
          <w:rFonts w:hint="eastAsia" w:ascii="宋体" w:hAnsi="宋体" w:eastAsia="宋体" w:cs="宋体"/>
          <w:color w:val="333333"/>
        </w:rPr>
        <w:t>的内容包括：总则、设计内容与自审审查要点表。</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480" w:firstLineChars="200"/>
        <w:textAlignment w:val="auto"/>
        <w:rPr>
          <w:rFonts w:hint="eastAsia" w:ascii="宋体" w:hAnsi="宋体" w:eastAsia="宋体" w:cs="宋体"/>
        </w:rPr>
      </w:pPr>
      <w:r>
        <w:rPr>
          <w:rFonts w:hint="eastAsia" w:ascii="宋体" w:hAnsi="宋体" w:eastAsia="宋体" w:cs="宋体"/>
          <w:color w:val="333333"/>
        </w:rPr>
        <w:t>设计内容与自审审查要点表按一般性内容与设计文件内容列出。设计文件内容包括建筑、结构、暖通空调用能设备系统、电气与智能化、给排水、可再生能源以及数值模拟。对于初步设计阶段额外需要的设计内容与自审审查要点，在表中的备注栏列出。</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480" w:firstLineChars="200"/>
        <w:textAlignment w:val="auto"/>
        <w:rPr>
          <w:rFonts w:hint="eastAsia" w:ascii="宋体" w:hAnsi="宋体" w:eastAsia="宋体" w:cs="宋体"/>
        </w:rPr>
      </w:pPr>
      <w:r>
        <w:rPr>
          <w:rFonts w:hint="eastAsia" w:ascii="宋体" w:hAnsi="宋体" w:eastAsia="宋体" w:cs="宋体"/>
          <w:color w:val="333333"/>
        </w:rPr>
        <w:t>本要点由杭州市城乡建设委员会管理，浙江大学建筑设计研究院有限公司负责具体技术内容的解释。在本要点执行过程中如发现需修改和补充之处，请及时向浙江大学建筑设计研究院有限公司反馈，以供今后修订时参考。</w:t>
      </w:r>
    </w:p>
    <w:p>
      <w:pPr>
        <w:snapToGrid w:val="0"/>
        <w:spacing w:line="360" w:lineRule="auto"/>
        <w:jc w:val="center"/>
        <w:rPr>
          <w:rFonts w:hint="eastAsia" w:ascii="黑体" w:hAnsi="宋体" w:eastAsia="黑体"/>
          <w:sz w:val="36"/>
          <w:szCs w:val="36"/>
        </w:rPr>
        <w:sectPr>
          <w:footerReference r:id="rId9" w:type="default"/>
          <w:pgSz w:w="11906" w:h="16838"/>
          <w:pgMar w:top="1440" w:right="1800" w:bottom="1440" w:left="1800" w:header="851" w:footer="992" w:gutter="0"/>
          <w:pgNumType w:fmt="numberInDash"/>
          <w:cols w:space="425" w:num="1"/>
          <w:docGrid w:type="lines" w:linePitch="312" w:charSpace="0"/>
        </w:sectPr>
      </w:pPr>
    </w:p>
    <w:p>
      <w:pPr>
        <w:snapToGrid w:val="0"/>
        <w:spacing w:line="360" w:lineRule="auto"/>
        <w:jc w:val="both"/>
        <w:rPr>
          <w:rFonts w:hint="eastAsia" w:ascii="黑体" w:hAnsi="宋体" w:eastAsia="黑体"/>
          <w:sz w:val="36"/>
          <w:szCs w:val="36"/>
        </w:rPr>
      </w:pPr>
    </w:p>
    <w:p>
      <w:pPr>
        <w:pStyle w:val="4"/>
        <w:keepNext w:val="0"/>
        <w:keepLines w:val="0"/>
        <w:widowControl/>
        <w:spacing w:before="600" w:after="300" w:line="330" w:lineRule="atLeast"/>
        <w:jc w:val="center"/>
        <w:rPr>
          <w:b w:val="0"/>
          <w:color w:val="333333"/>
          <w:sz w:val="33"/>
          <w:szCs w:val="33"/>
        </w:rPr>
      </w:pPr>
      <w:r>
        <w:rPr>
          <w:rFonts w:hint="eastAsia" w:ascii="宋体" w:hAnsi="宋体" w:cs="宋体"/>
          <w:b w:val="0"/>
          <w:color w:val="333333"/>
          <w:sz w:val="33"/>
          <w:szCs w:val="33"/>
        </w:rPr>
        <w:t>总则</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rPr>
      </w:pPr>
      <w:r>
        <w:rPr>
          <w:rFonts w:ascii="宋体" w:hAnsi="宋体" w:cs="宋体"/>
          <w:color w:val="auto"/>
        </w:rPr>
        <w:t>1</w:t>
      </w:r>
      <w:r>
        <w:rPr>
          <w:rFonts w:hint="eastAsia" w:ascii="宋体" w:hAnsi="宋体" w:eastAsia="宋体" w:cs="宋体"/>
          <w:color w:val="auto"/>
        </w:rPr>
        <w:t>.0.1</w:t>
      </w:r>
      <w:r>
        <w:rPr>
          <w:rFonts w:hint="eastAsia" w:ascii="宋体" w:hAnsi="宋体" w:cs="宋体"/>
          <w:color w:val="auto"/>
          <w:lang w:val="en-US" w:eastAsia="zh-CN"/>
        </w:rPr>
        <w:t xml:space="preserve"> </w:t>
      </w:r>
      <w:r>
        <w:rPr>
          <w:rFonts w:hint="eastAsia" w:ascii="宋体" w:hAnsi="宋体" w:eastAsia="宋体" w:cs="宋体"/>
          <w:color w:val="auto"/>
        </w:rPr>
        <w:t>为贯彻落实国家、省、市碳达峰碳中和决策部署，促进杭州市绿色建筑高质量发展、规范绿色建筑与节能设计的管理和控制，指导工程设计单位开展杭州市民用建筑工程设计方案绿色建筑与节能内容的编制，根据《关于进一步完善杭州市民用建筑节能审查工作的实施意见》（杭建审改办</w:t>
      </w:r>
      <w:r>
        <w:rPr>
          <w:rFonts w:hint="eastAsia" w:ascii="仿宋_GB2312" w:hAnsi="仿宋_GB2312" w:eastAsia="仿宋_GB2312" w:cs="仿宋_GB2312"/>
          <w:color w:val="auto"/>
          <w:sz w:val="24"/>
          <w:szCs w:val="24"/>
          <w:lang w:val="en-US" w:eastAsia="zh-CN"/>
        </w:rPr>
        <w:t>〔</w:t>
      </w:r>
      <w:r>
        <w:rPr>
          <w:rFonts w:hint="eastAsia" w:ascii="宋体" w:hAnsi="宋体" w:eastAsia="宋体" w:cs="宋体"/>
          <w:color w:val="auto"/>
          <w:sz w:val="24"/>
          <w:szCs w:val="24"/>
        </w:rPr>
        <w:t>2018</w:t>
      </w:r>
      <w:r>
        <w:rPr>
          <w:rFonts w:hint="eastAsia" w:ascii="仿宋_GB2312" w:hAnsi="仿宋_GB2312" w:eastAsia="仿宋_GB2312" w:cs="仿宋_GB2312"/>
          <w:color w:val="auto"/>
          <w:sz w:val="24"/>
          <w:szCs w:val="24"/>
          <w:lang w:val="en-US" w:eastAsia="zh-CN"/>
        </w:rPr>
        <w:t>〕</w:t>
      </w:r>
      <w:r>
        <w:rPr>
          <w:rFonts w:hint="eastAsia" w:ascii="宋体" w:hAnsi="宋体" w:eastAsia="宋体" w:cs="宋体"/>
          <w:color w:val="auto"/>
        </w:rPr>
        <w:t>4号）规定，制定本“绿色建筑与节能设计”专篇设计内容与自审审查要点。</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rPr>
      </w:pPr>
      <w:r>
        <w:rPr>
          <w:rFonts w:hint="eastAsia" w:ascii="宋体" w:hAnsi="宋体" w:eastAsia="宋体" w:cs="宋体"/>
          <w:color w:val="auto"/>
        </w:rPr>
        <w:t>1.0.2</w:t>
      </w:r>
      <w:r>
        <w:rPr>
          <w:rFonts w:hint="eastAsia" w:ascii="宋体" w:hAnsi="宋体" w:cs="宋体"/>
          <w:color w:val="auto"/>
          <w:lang w:val="en-US" w:eastAsia="zh-CN"/>
        </w:rPr>
        <w:t xml:space="preserve"> </w:t>
      </w:r>
      <w:r>
        <w:rPr>
          <w:rFonts w:hint="eastAsia" w:ascii="宋体" w:hAnsi="宋体" w:eastAsia="宋体" w:cs="宋体"/>
          <w:color w:val="auto"/>
        </w:rPr>
        <w:t>本要点适用于杭州市行政区域内的新建、改建、扩建除农民自建住宅外的民用建筑项目办理节能设计、节能审查、节能评估等相关的活动。</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rPr>
      </w:pPr>
      <w:r>
        <w:rPr>
          <w:rFonts w:hint="eastAsia" w:ascii="宋体" w:hAnsi="宋体" w:eastAsia="宋体" w:cs="宋体"/>
          <w:color w:val="auto"/>
        </w:rPr>
        <w:t>1.0.3</w:t>
      </w:r>
      <w:r>
        <w:rPr>
          <w:rFonts w:hint="eastAsia" w:ascii="宋体" w:hAnsi="宋体" w:cs="宋体"/>
          <w:color w:val="auto"/>
          <w:lang w:val="en-US" w:eastAsia="zh-CN"/>
        </w:rPr>
        <w:t xml:space="preserve"> </w:t>
      </w:r>
      <w:r>
        <w:rPr>
          <w:rFonts w:hint="eastAsia" w:ascii="宋体" w:hAnsi="宋体" w:eastAsia="宋体" w:cs="宋体"/>
          <w:color w:val="auto"/>
        </w:rPr>
        <w:t>本要点规定的设计内容与自审审查要点依据现行国家标准《绿色建筑评价标准》</w:t>
      </w:r>
      <w:r>
        <w:rPr>
          <w:rFonts w:hint="eastAsia" w:ascii="宋体" w:hAnsi="宋体" w:cs="宋体"/>
          <w:color w:val="auto"/>
          <w:lang w:eastAsia="zh-CN"/>
        </w:rPr>
        <w:t>（</w:t>
      </w:r>
      <w:r>
        <w:rPr>
          <w:rFonts w:hint="eastAsia" w:ascii="宋体" w:hAnsi="宋体" w:eastAsia="宋体" w:cs="宋体"/>
          <w:color w:val="auto"/>
        </w:rPr>
        <w:t>GB/T50378</w:t>
      </w:r>
      <w:r>
        <w:rPr>
          <w:rFonts w:hint="eastAsia" w:ascii="宋体" w:hAnsi="宋体" w:cs="宋体"/>
          <w:color w:val="auto"/>
          <w:lang w:eastAsia="zh-CN"/>
        </w:rPr>
        <w:t>）</w:t>
      </w:r>
      <w:r>
        <w:rPr>
          <w:rFonts w:hint="eastAsia" w:ascii="宋体" w:hAnsi="宋体" w:eastAsia="宋体" w:cs="宋体"/>
          <w:color w:val="auto"/>
        </w:rPr>
        <w:t>、现行浙江省《绿色建筑设计标准》</w:t>
      </w:r>
      <w:r>
        <w:rPr>
          <w:rFonts w:hint="eastAsia" w:ascii="宋体" w:hAnsi="宋体" w:cs="宋体"/>
          <w:color w:val="auto"/>
          <w:lang w:eastAsia="zh-CN"/>
        </w:rPr>
        <w:t>（</w:t>
      </w:r>
      <w:r>
        <w:rPr>
          <w:rFonts w:hint="eastAsia" w:ascii="宋体" w:hAnsi="宋体" w:eastAsia="宋体" w:cs="宋体"/>
          <w:color w:val="auto"/>
        </w:rPr>
        <w:t>DB33/1092</w:t>
      </w:r>
      <w:r>
        <w:rPr>
          <w:rFonts w:hint="eastAsia" w:ascii="宋体" w:hAnsi="宋体" w:cs="宋体"/>
          <w:color w:val="auto"/>
          <w:lang w:eastAsia="zh-CN"/>
        </w:rPr>
        <w:t>）</w:t>
      </w:r>
      <w:r>
        <w:rPr>
          <w:rFonts w:hint="eastAsia" w:ascii="宋体" w:hAnsi="宋体" w:eastAsia="宋体" w:cs="宋体"/>
          <w:color w:val="auto"/>
        </w:rPr>
        <w:t>、现行浙江省《民用建筑节能评估技术导则》编制。</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rPr>
      </w:pPr>
      <w:r>
        <w:rPr>
          <w:rFonts w:hint="eastAsia" w:ascii="宋体" w:hAnsi="宋体" w:eastAsia="宋体" w:cs="宋体"/>
          <w:color w:val="auto"/>
        </w:rPr>
        <w:t>1.0.4</w:t>
      </w:r>
      <w:r>
        <w:rPr>
          <w:rFonts w:hint="eastAsia" w:ascii="宋体" w:hAnsi="宋体" w:cs="宋体"/>
          <w:color w:val="auto"/>
          <w:lang w:val="en-US" w:eastAsia="zh-CN"/>
        </w:rPr>
        <w:t xml:space="preserve"> </w:t>
      </w:r>
      <w:r>
        <w:rPr>
          <w:rFonts w:hint="eastAsia" w:ascii="宋体" w:hAnsi="宋体" w:eastAsia="宋体" w:cs="宋体"/>
          <w:color w:val="auto"/>
        </w:rPr>
        <w:t>本要点中明列的设计文件内容要点，可采用设计专篇的方式，也可分散在设计说明、设计图纸、计算书、设计专篇中表达，除本要点中明确联审阶段可容缺审查外，不可缺项，且在施工许可阶段的节能评估文件（或节能登记表）中对以上内容根据浙江省《民用建筑节能评估技术导则》的要求逐一计算复核并落实。</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rPr>
      </w:pPr>
      <w:r>
        <w:rPr>
          <w:rFonts w:hint="eastAsia" w:ascii="宋体" w:hAnsi="宋体" w:eastAsia="宋体" w:cs="宋体"/>
          <w:color w:val="auto"/>
        </w:rPr>
        <w:t>1.0.5</w:t>
      </w:r>
      <w:r>
        <w:rPr>
          <w:rFonts w:hint="eastAsia" w:ascii="宋体" w:hAnsi="宋体" w:cs="宋体"/>
          <w:color w:val="auto"/>
          <w:lang w:val="en-US" w:eastAsia="zh-CN"/>
        </w:rPr>
        <w:t xml:space="preserve"> </w:t>
      </w:r>
      <w:r>
        <w:rPr>
          <w:rFonts w:hint="eastAsia" w:ascii="宋体" w:hAnsi="宋体" w:eastAsia="宋体" w:cs="宋体"/>
          <w:color w:val="auto"/>
        </w:rPr>
        <w:t>设计单位在工程设计方案或初步设计方案中应提供绿色建筑预评价自评表；绿色建筑预评价自评表的得分应满足市、区</w:t>
      </w:r>
      <w:r>
        <w:rPr>
          <w:rFonts w:hint="eastAsia" w:ascii="宋体" w:hAnsi="宋体" w:cs="宋体"/>
          <w:color w:val="auto"/>
          <w:lang w:eastAsia="zh-CN"/>
        </w:rPr>
        <w:t>县（市）</w:t>
      </w:r>
      <w:r>
        <w:rPr>
          <w:rFonts w:hint="eastAsia" w:ascii="宋体" w:hAnsi="宋体" w:eastAsia="宋体" w:cs="宋体"/>
          <w:color w:val="auto"/>
        </w:rPr>
        <w:t>绿色建筑专项规划对本项目绿色建筑星级设计要求。市、区</w:t>
      </w:r>
      <w:r>
        <w:rPr>
          <w:rFonts w:hint="eastAsia" w:ascii="宋体" w:hAnsi="宋体" w:cs="宋体"/>
          <w:color w:val="auto"/>
          <w:lang w:eastAsia="zh-CN"/>
        </w:rPr>
        <w:t>县（市）</w:t>
      </w:r>
      <w:r>
        <w:rPr>
          <w:rFonts w:hint="eastAsia" w:ascii="宋体" w:hAnsi="宋体" w:eastAsia="宋体" w:cs="宋体"/>
          <w:color w:val="auto"/>
        </w:rPr>
        <w:t>建设主管部门组织技术审查时应对绿色建筑预评价自评表得分进行审查，并审查各项控制项及得分项要点在设计文件中落实。</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rPr>
      </w:pPr>
      <w:r>
        <w:rPr>
          <w:rFonts w:hint="eastAsia" w:ascii="宋体" w:hAnsi="宋体" w:eastAsia="宋体" w:cs="宋体"/>
          <w:color w:val="auto"/>
        </w:rPr>
        <w:t>1.0.6市、区</w:t>
      </w:r>
      <w:r>
        <w:rPr>
          <w:rFonts w:hint="eastAsia" w:ascii="宋体" w:hAnsi="宋体" w:cs="宋体"/>
          <w:color w:val="auto"/>
          <w:lang w:eastAsia="zh-CN"/>
        </w:rPr>
        <w:t>县（市）</w:t>
      </w:r>
      <w:r>
        <w:rPr>
          <w:rFonts w:hint="eastAsia" w:ascii="宋体" w:hAnsi="宋体" w:eastAsia="宋体" w:cs="宋体"/>
          <w:color w:val="auto"/>
        </w:rPr>
        <w:t>建设主管部门组织技术审查时除应符合本要点外，尚应符合国家及地方标准对绿色建筑和建筑节能的相关规定。</w:t>
      </w:r>
    </w:p>
    <w:p>
      <w:pPr>
        <w:snapToGrid w:val="0"/>
        <w:spacing w:line="360" w:lineRule="auto"/>
        <w:jc w:val="both"/>
        <w:rPr>
          <w:rFonts w:hint="eastAsia" w:ascii="黑体" w:hAnsi="宋体" w:eastAsia="黑体"/>
          <w:sz w:val="36"/>
          <w:szCs w:val="36"/>
        </w:rPr>
        <w:sectPr>
          <w:footerReference r:id="rId10" w:type="default"/>
          <w:pgSz w:w="11906" w:h="16838"/>
          <w:pgMar w:top="1440" w:right="1800" w:bottom="1440" w:left="1800" w:header="851" w:footer="992" w:gutter="0"/>
          <w:pgNumType w:fmt="numberInDash"/>
          <w:cols w:space="425" w:num="1"/>
          <w:docGrid w:type="lines" w:linePitch="312" w:charSpace="0"/>
        </w:sectPr>
      </w:pPr>
    </w:p>
    <w:p>
      <w:pPr>
        <w:pStyle w:val="4"/>
        <w:jc w:val="center"/>
        <w:rPr>
          <w:rFonts w:hint="eastAsia" w:eastAsiaTheme="minorEastAsia"/>
          <w:lang w:eastAsia="zh-CN"/>
        </w:rPr>
      </w:pPr>
      <w:r>
        <w:rPr>
          <w:rFonts w:hint="eastAsia"/>
          <w:lang w:eastAsia="zh-CN"/>
        </w:rPr>
        <w:t>杭州市民用建筑工程设计方案“绿色建筑与节能设计”专篇设计内容要点及自审审查要点表</w:t>
      </w:r>
    </w:p>
    <w:tbl>
      <w:tblPr>
        <w:tblStyle w:val="24"/>
        <w:tblW w:w="2126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948"/>
        <w:gridCol w:w="4536"/>
        <w:gridCol w:w="4536"/>
        <w:gridCol w:w="4434"/>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867"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3506"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867"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434"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一般性内容</w:t>
            </w:r>
          </w:p>
        </w:tc>
        <w:tc>
          <w:tcPr>
            <w:tcW w:w="919"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w:t>
            </w:r>
          </w:p>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依据</w:t>
            </w: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设计依据（标准、法规、相关文件）</w:t>
            </w:r>
          </w:p>
        </w:tc>
        <w:tc>
          <w:tcPr>
            <w:tcW w:w="13506" w:type="dxa"/>
            <w:gridSpan w:val="3"/>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□设计依据完整</w:t>
            </w:r>
            <w:r>
              <w:rPr>
                <w:rFonts w:ascii="宋体" w:hAnsi="宋体" w:eastAsia="宋体" w:cs="宋体"/>
                <w:kern w:val="0"/>
                <w:sz w:val="20"/>
                <w:szCs w:val="20"/>
              </w:rPr>
              <w:br w:type="textWrapping"/>
            </w:r>
            <w:r>
              <w:rPr>
                <w:rFonts w:hint="eastAsia" w:ascii="宋体" w:hAnsi="宋体" w:eastAsia="宋体" w:cs="宋体"/>
                <w:kern w:val="0"/>
                <w:sz w:val="20"/>
                <w:szCs w:val="20"/>
              </w:rPr>
              <w:t>□设计依据现行、有效</w:t>
            </w:r>
            <w:r>
              <w:rPr>
                <w:rFonts w:ascii="宋体" w:hAnsi="宋体" w:eastAsia="宋体" w:cs="宋体"/>
                <w:kern w:val="0"/>
                <w:sz w:val="20"/>
                <w:szCs w:val="20"/>
              </w:rPr>
              <w:br w:type="textWrapping"/>
            </w:r>
            <w:r>
              <w:rPr>
                <w:rFonts w:hint="eastAsia" w:ascii="宋体" w:hAnsi="宋体" w:eastAsia="宋体" w:cs="宋体"/>
                <w:kern w:val="0"/>
                <w:sz w:val="20"/>
                <w:szCs w:val="20"/>
              </w:rPr>
              <w:t>□设计依据针对项目特性</w:t>
            </w:r>
          </w:p>
        </w:tc>
        <w:tc>
          <w:tcPr>
            <w:tcW w:w="1220" w:type="dxa"/>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center"/>
              <w:rPr>
                <w:rFonts w:ascii="宋体" w:hAnsi="宋体" w:eastAsia="宋体" w:cs="宋体"/>
                <w:b/>
                <w:bCs/>
                <w:kern w:val="0"/>
                <w:sz w:val="20"/>
                <w:szCs w:val="20"/>
              </w:rPr>
            </w:pPr>
          </w:p>
        </w:tc>
        <w:tc>
          <w:tcPr>
            <w:tcW w:w="919"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绿色星级目标</w:t>
            </w: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项目绿色星级目标的定位</w:t>
            </w:r>
          </w:p>
        </w:tc>
        <w:tc>
          <w:tcPr>
            <w:tcW w:w="13506"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□绿色星级目标的定位满足浙江省《绿色建筑条例》</w:t>
            </w:r>
            <w:r>
              <w:rPr>
                <w:rFonts w:ascii="宋体" w:hAnsi="宋体" w:eastAsia="宋体" w:cs="宋体"/>
                <w:kern w:val="0"/>
                <w:sz w:val="20"/>
                <w:szCs w:val="20"/>
              </w:rPr>
              <w:br w:type="textWrapping"/>
            </w:r>
            <w:r>
              <w:rPr>
                <w:rFonts w:hint="eastAsia" w:ascii="宋体" w:hAnsi="宋体" w:eastAsia="宋体" w:cs="宋体"/>
                <w:kern w:val="0"/>
                <w:sz w:val="20"/>
                <w:szCs w:val="20"/>
              </w:rPr>
              <w:t>□绿色星级目标的定位满足市、区《绿色建筑专项规划》</w:t>
            </w:r>
            <w:r>
              <w:rPr>
                <w:rFonts w:ascii="宋体" w:hAnsi="宋体" w:eastAsia="宋体" w:cs="宋体"/>
                <w:kern w:val="0"/>
                <w:sz w:val="20"/>
                <w:szCs w:val="20"/>
              </w:rPr>
              <w:br w:type="textWrapping"/>
            </w:r>
            <w:r>
              <w:rPr>
                <w:rFonts w:hint="eastAsia" w:ascii="宋体" w:hAnsi="宋体" w:eastAsia="宋体" w:cs="宋体"/>
                <w:kern w:val="0"/>
                <w:sz w:val="20"/>
                <w:szCs w:val="20"/>
              </w:rPr>
              <w:t>□绿色星级目标的定位满足立项、批复等政府文件或建设单位的高星级目标要求</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一般概况</w:t>
            </w: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项目地点、项目用地性质</w:t>
            </w:r>
          </w:p>
        </w:tc>
        <w:tc>
          <w:tcPr>
            <w:tcW w:w="13506"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□内容完整</w:t>
            </w:r>
            <w:r>
              <w:rPr>
                <w:rFonts w:ascii="宋体" w:hAnsi="宋体" w:eastAsia="宋体" w:cs="宋体"/>
                <w:kern w:val="0"/>
                <w:sz w:val="20"/>
                <w:szCs w:val="20"/>
              </w:rPr>
              <w:br w:type="textWrapping"/>
            </w:r>
            <w:r>
              <w:rPr>
                <w:rFonts w:hint="eastAsia" w:ascii="宋体" w:hAnsi="宋体" w:eastAsia="宋体" w:cs="宋体"/>
                <w:kern w:val="0"/>
                <w:sz w:val="20"/>
                <w:szCs w:val="20"/>
              </w:rPr>
              <w:t>□内容与立项文件一致。</w:t>
            </w:r>
            <w:r>
              <w:rPr>
                <w:rFonts w:ascii="宋体" w:hAnsi="宋体" w:eastAsia="宋体" w:cs="宋体"/>
                <w:kern w:val="0"/>
                <w:sz w:val="20"/>
                <w:szCs w:val="20"/>
              </w:rPr>
              <w:br w:type="textWrapping"/>
            </w:r>
            <w:r>
              <w:rPr>
                <w:rFonts w:hint="eastAsia" w:ascii="宋体" w:hAnsi="宋体" w:eastAsia="宋体" w:cs="宋体"/>
                <w:kern w:val="0"/>
                <w:sz w:val="20"/>
                <w:szCs w:val="20"/>
              </w:rPr>
              <w:t>□建筑工业化设计目标满足立项、批复、市区《绿色建筑专项规划》等政府文件的要求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w:t>
            </w:r>
            <w:r>
              <w:rPr>
                <w:rFonts w:ascii="宋体" w:hAnsi="宋体" w:eastAsia="宋体" w:cs="宋体"/>
                <w:kern w:val="0"/>
                <w:sz w:val="20"/>
                <w:szCs w:val="20"/>
              </w:rPr>
              <w:t>能源应用</w:t>
            </w:r>
            <w:r>
              <w:rPr>
                <w:rFonts w:hint="eastAsia" w:ascii="宋体" w:hAnsi="宋体" w:eastAsia="宋体" w:cs="宋体"/>
                <w:kern w:val="0"/>
                <w:sz w:val="20"/>
                <w:szCs w:val="20"/>
              </w:rPr>
              <w:t>设计目标满足立项、批复、市区《绿色建筑专项规划》等政府文件的要求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□建筑</w:t>
            </w:r>
            <w:r>
              <w:rPr>
                <w:rFonts w:ascii="宋体" w:hAnsi="宋体" w:eastAsia="宋体" w:cs="宋体"/>
                <w:kern w:val="0"/>
                <w:sz w:val="20"/>
                <w:szCs w:val="20"/>
              </w:rPr>
              <w:t>碳排放技术</w:t>
            </w:r>
            <w:r>
              <w:rPr>
                <w:rFonts w:hint="eastAsia" w:ascii="宋体" w:hAnsi="宋体" w:eastAsia="宋体" w:cs="宋体"/>
                <w:kern w:val="0"/>
                <w:sz w:val="20"/>
                <w:szCs w:val="20"/>
              </w:rPr>
              <w:t>设计目标满足立项、批复、市区《绿色建筑专项规划》等政府文件的要求</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规划指标、设计指标</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项目的分区、分期要求</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设计项目的主要功能、设计范围</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建筑工业化设计目标</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可再生</w:t>
            </w:r>
            <w:r>
              <w:rPr>
                <w:rFonts w:ascii="宋体" w:hAnsi="宋体" w:eastAsia="宋体" w:cs="宋体"/>
                <w:kern w:val="0"/>
                <w:sz w:val="20"/>
                <w:szCs w:val="20"/>
              </w:rPr>
              <w:t>能源应用设计目标</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建筑</w:t>
            </w:r>
            <w:r>
              <w:rPr>
                <w:rFonts w:ascii="宋体" w:hAnsi="宋体" w:eastAsia="宋体" w:cs="宋体"/>
                <w:kern w:val="0"/>
                <w:sz w:val="20"/>
                <w:szCs w:val="20"/>
              </w:rPr>
              <w:t>碳排放技术设计目标</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建筑</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技术经济指标包括</w:t>
            </w: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建筑总面积、建筑占地面积</w:t>
            </w:r>
          </w:p>
        </w:tc>
        <w:tc>
          <w:tcPr>
            <w:tcW w:w="13506"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□内容完整</w:t>
            </w:r>
            <w:r>
              <w:rPr>
                <w:rFonts w:ascii="宋体" w:hAnsi="宋体" w:eastAsia="宋体" w:cs="宋体"/>
                <w:kern w:val="0"/>
                <w:sz w:val="20"/>
                <w:szCs w:val="20"/>
              </w:rPr>
              <w:br w:type="textWrapping"/>
            </w:r>
            <w:r>
              <w:rPr>
                <w:rFonts w:hint="eastAsia" w:ascii="宋体" w:hAnsi="宋体" w:eastAsia="宋体" w:cs="宋体"/>
                <w:kern w:val="0"/>
                <w:sz w:val="20"/>
                <w:szCs w:val="20"/>
              </w:rPr>
              <w:t>□内容与立项文件一致。</w:t>
            </w:r>
            <w:r>
              <w:rPr>
                <w:rFonts w:ascii="宋体" w:hAnsi="宋体" w:eastAsia="宋体" w:cs="宋体"/>
                <w:kern w:val="0"/>
                <w:sz w:val="20"/>
                <w:szCs w:val="20"/>
              </w:rPr>
              <w:br w:type="textWrapping"/>
            </w:r>
            <w:r>
              <w:rPr>
                <w:rFonts w:hint="eastAsia" w:ascii="宋体" w:hAnsi="宋体" w:eastAsia="宋体" w:cs="宋体"/>
                <w:kern w:val="0"/>
                <w:sz w:val="20"/>
                <w:szCs w:val="20"/>
              </w:rPr>
              <w:t>□涉及综合类项目（居住、公建混合的项目等），指标分类清楚</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建筑层数和总高（地上、地下部分）；</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容积率、密度及绿地率等和反映建筑功能规模的技术指标；</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有标定人员使用要求的建筑的相关指标：</w:t>
            </w:r>
            <w:r>
              <w:rPr>
                <w:rFonts w:ascii="宋体" w:hAnsi="宋体" w:eastAsia="宋体" w:cs="宋体"/>
                <w:kern w:val="0"/>
                <w:sz w:val="20"/>
                <w:szCs w:val="20"/>
              </w:rPr>
              <w:br w:type="textWrapping"/>
            </w:r>
            <w:r>
              <w:rPr>
                <w:rFonts w:hint="eastAsia" w:ascii="宋体" w:hAnsi="宋体" w:eastAsia="宋体" w:cs="宋体"/>
                <w:kern w:val="0"/>
                <w:sz w:val="20"/>
                <w:szCs w:val="20"/>
              </w:rPr>
              <w:t>体育馆、影剧院的座位数；</w:t>
            </w:r>
            <w:r>
              <w:rPr>
                <w:rFonts w:ascii="宋体" w:hAnsi="宋体" w:eastAsia="宋体" w:cs="宋体"/>
                <w:kern w:val="0"/>
                <w:sz w:val="20"/>
                <w:szCs w:val="20"/>
              </w:rPr>
              <w:br w:type="textWrapping"/>
            </w:r>
            <w:r>
              <w:rPr>
                <w:rFonts w:hint="eastAsia" w:ascii="宋体" w:hAnsi="宋体" w:eastAsia="宋体" w:cs="宋体"/>
                <w:kern w:val="0"/>
                <w:sz w:val="20"/>
                <w:szCs w:val="20"/>
              </w:rPr>
              <w:t>旅馆、病房、宿舍的床位数；</w:t>
            </w:r>
            <w:r>
              <w:rPr>
                <w:rFonts w:ascii="宋体" w:hAnsi="宋体" w:eastAsia="宋体" w:cs="宋体"/>
                <w:kern w:val="0"/>
                <w:sz w:val="20"/>
                <w:szCs w:val="20"/>
              </w:rPr>
              <w:br w:type="textWrapping"/>
            </w:r>
            <w:r>
              <w:rPr>
                <w:rFonts w:hint="eastAsia" w:ascii="宋体" w:hAnsi="宋体" w:eastAsia="宋体" w:cs="宋体"/>
                <w:kern w:val="0"/>
                <w:sz w:val="20"/>
                <w:szCs w:val="20"/>
              </w:rPr>
              <w:t>住宅的户数；</w:t>
            </w:r>
            <w:r>
              <w:rPr>
                <w:rFonts w:ascii="宋体" w:hAnsi="宋体" w:eastAsia="宋体" w:cs="宋体"/>
                <w:kern w:val="0"/>
                <w:sz w:val="20"/>
                <w:szCs w:val="20"/>
              </w:rPr>
              <w:br w:type="textWrapping"/>
            </w:r>
            <w:r>
              <w:rPr>
                <w:rFonts w:hint="eastAsia" w:ascii="宋体" w:hAnsi="宋体" w:eastAsia="宋体" w:cs="宋体"/>
                <w:kern w:val="0"/>
                <w:sz w:val="20"/>
                <w:szCs w:val="20"/>
              </w:rPr>
              <w:t>学校、幼儿园的班级数等</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绿色建筑设计策划</w:t>
            </w: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绿色建筑设计的设计理念、方法</w:t>
            </w:r>
          </w:p>
        </w:tc>
        <w:tc>
          <w:tcPr>
            <w:tcW w:w="13506"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□设计理念与方法合理</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建筑的功能节能类别定性明确</w:t>
            </w:r>
          </w:p>
        </w:tc>
        <w:tc>
          <w:tcPr>
            <w:tcW w:w="13506"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□建筑的功能节能类别定性准确</w:t>
            </w:r>
            <w:r>
              <w:rPr>
                <w:rFonts w:ascii="宋体" w:hAnsi="宋体" w:eastAsia="宋体" w:cs="宋体"/>
                <w:kern w:val="0"/>
                <w:sz w:val="20"/>
                <w:szCs w:val="20"/>
              </w:rPr>
              <w:br w:type="textWrapping"/>
            </w:r>
            <w:r>
              <w:rPr>
                <w:rFonts w:hint="eastAsia" w:ascii="宋体" w:hAnsi="宋体" w:eastAsia="宋体" w:cs="宋体"/>
                <w:kern w:val="0"/>
                <w:sz w:val="20"/>
                <w:szCs w:val="20"/>
              </w:rPr>
              <w:t>□执行的节能标准与建筑的功能节能类别定性符合</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绿色建筑拟采用的技术应用点（是否采用土建和装修一体化设计、是否应用新型建筑工业化技术、如何开发利用地下空间、是否采用建筑信息模型技术等）</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□拟采用的技术应用点符合《绿色建筑专项规划》的引导性指标</w:t>
            </w:r>
            <w:r>
              <w:rPr>
                <w:rFonts w:ascii="宋体" w:hAnsi="宋体" w:eastAsia="宋体" w:cs="宋体"/>
                <w:kern w:val="0"/>
                <w:sz w:val="20"/>
                <w:szCs w:val="20"/>
              </w:rPr>
              <w:br w:type="textWrapping"/>
            </w:r>
            <w:r>
              <w:rPr>
                <w:rFonts w:hint="eastAsia" w:ascii="宋体" w:hAnsi="宋体" w:eastAsia="宋体" w:cs="宋体"/>
                <w:kern w:val="0"/>
                <w:sz w:val="20"/>
                <w:szCs w:val="20"/>
              </w:rPr>
              <w:t>□拟采用的技术应用点符合《绿色建筑设计标准》的一星级绿色建筑设计的要求</w:t>
            </w:r>
            <w:r>
              <w:rPr>
                <w:rFonts w:ascii="宋体" w:hAnsi="宋体" w:eastAsia="宋体" w:cs="宋体"/>
                <w:kern w:val="0"/>
                <w:sz w:val="20"/>
                <w:szCs w:val="20"/>
              </w:rPr>
              <w:br w:type="textWrapping"/>
            </w:r>
            <w:r>
              <w:rPr>
                <w:rFonts w:hint="eastAsia" w:ascii="宋体" w:hAnsi="宋体" w:eastAsia="宋体" w:cs="宋体"/>
                <w:kern w:val="0"/>
                <w:sz w:val="20"/>
                <w:szCs w:val="20"/>
              </w:rPr>
              <w:t>□拟采用的技术应用点符合相关文件及适宜技术要求</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□拟采用的技术应用点符合《绿色建筑专项规划》的引导性指标</w:t>
            </w:r>
            <w:r>
              <w:rPr>
                <w:rFonts w:ascii="宋体" w:hAnsi="宋体" w:eastAsia="宋体" w:cs="宋体"/>
                <w:kern w:val="0"/>
                <w:sz w:val="20"/>
                <w:szCs w:val="20"/>
              </w:rPr>
              <w:br w:type="textWrapping"/>
            </w:r>
            <w:r>
              <w:rPr>
                <w:rFonts w:hint="eastAsia" w:ascii="宋体" w:hAnsi="宋体" w:eastAsia="宋体" w:cs="宋体"/>
                <w:kern w:val="0"/>
                <w:sz w:val="20"/>
                <w:szCs w:val="20"/>
              </w:rPr>
              <w:t>□拟采用的技术应用点符合《绿色建筑设计标准》的一星级及二星级绿色建筑设计的要求</w:t>
            </w:r>
            <w:r>
              <w:rPr>
                <w:rFonts w:ascii="宋体" w:hAnsi="宋体" w:eastAsia="宋体" w:cs="宋体"/>
                <w:kern w:val="0"/>
                <w:sz w:val="20"/>
                <w:szCs w:val="20"/>
              </w:rPr>
              <w:br w:type="textWrapping"/>
            </w:r>
            <w:r>
              <w:rPr>
                <w:rFonts w:hint="eastAsia" w:ascii="宋体" w:hAnsi="宋体" w:eastAsia="宋体" w:cs="宋体"/>
                <w:kern w:val="0"/>
                <w:sz w:val="20"/>
                <w:szCs w:val="20"/>
              </w:rPr>
              <w:t>□拟采用的技术应用点符合相关文件及适宜技术要求</w:t>
            </w:r>
          </w:p>
        </w:tc>
        <w:tc>
          <w:tcPr>
            <w:tcW w:w="443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□拟采用的技术应用点符合《绿色建筑专项规划》的引导性指标</w:t>
            </w:r>
            <w:r>
              <w:rPr>
                <w:rFonts w:ascii="宋体" w:hAnsi="宋体" w:eastAsia="宋体" w:cs="宋体"/>
                <w:kern w:val="0"/>
                <w:sz w:val="20"/>
                <w:szCs w:val="20"/>
              </w:rPr>
              <w:br w:type="textWrapping"/>
            </w:r>
            <w:r>
              <w:rPr>
                <w:rFonts w:hint="eastAsia" w:ascii="宋体" w:hAnsi="宋体" w:eastAsia="宋体" w:cs="宋体"/>
                <w:kern w:val="0"/>
                <w:sz w:val="20"/>
                <w:szCs w:val="20"/>
              </w:rPr>
              <w:t>□拟采用的技术应用点符合《绿色建筑设计标准》的一星级、二星级及三星级绿色建筑设计的要求</w:t>
            </w:r>
            <w:r>
              <w:rPr>
                <w:rFonts w:ascii="宋体" w:hAnsi="宋体" w:eastAsia="宋体" w:cs="宋体"/>
                <w:kern w:val="0"/>
                <w:sz w:val="20"/>
                <w:szCs w:val="20"/>
              </w:rPr>
              <w:br w:type="textWrapping"/>
            </w:r>
            <w:r>
              <w:rPr>
                <w:rFonts w:hint="eastAsia" w:ascii="宋体" w:hAnsi="宋体" w:eastAsia="宋体" w:cs="宋体"/>
                <w:kern w:val="0"/>
                <w:sz w:val="20"/>
                <w:szCs w:val="20"/>
              </w:rPr>
              <w:t>□拟采用的技术应用点符合相关文件及适宜技术要求</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bl>
    <w:p>
      <w:pPr>
        <w:sectPr>
          <w:footerReference r:id="rId11" w:type="default"/>
          <w:pgSz w:w="23814" w:h="16839" w:orient="landscape"/>
          <w:pgMar w:top="1800" w:right="1440" w:bottom="1800" w:left="1440" w:header="851" w:footer="992" w:gutter="0"/>
          <w:pgNumType w:fmt="numberInDash"/>
          <w:cols w:space="425" w:num="1"/>
          <w:docGrid w:type="lines" w:linePitch="312" w:charSpace="0"/>
        </w:sectPr>
      </w:pPr>
    </w:p>
    <w:tbl>
      <w:tblPr>
        <w:tblStyle w:val="24"/>
        <w:tblW w:w="2126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948"/>
        <w:gridCol w:w="4536"/>
        <w:gridCol w:w="4536"/>
        <w:gridCol w:w="4434"/>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867"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3506"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867"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434"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建筑</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建筑围护结构</w:t>
            </w: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建筑的外立面（饰面）构造及用料</w:t>
            </w:r>
          </w:p>
        </w:tc>
        <w:tc>
          <w:tcPr>
            <w:tcW w:w="4536" w:type="dxa"/>
            <w:vMerge w:val="restart"/>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□建筑材料未使用国家和浙江省禁止和限制使用的建筑材料及制品；</w:t>
            </w:r>
            <w:r>
              <w:rPr>
                <w:rFonts w:ascii="宋体" w:hAnsi="宋体" w:eastAsia="宋体" w:cs="宋体"/>
                <w:kern w:val="0"/>
                <w:sz w:val="20"/>
                <w:szCs w:val="20"/>
              </w:rPr>
              <w:br w:type="textWrapping"/>
            </w:r>
            <w:r>
              <w:rPr>
                <w:rFonts w:hint="eastAsia" w:ascii="宋体" w:hAnsi="宋体" w:eastAsia="宋体" w:cs="宋体"/>
                <w:kern w:val="0"/>
                <w:sz w:val="20"/>
                <w:szCs w:val="20"/>
              </w:rPr>
              <w:t>□建筑保温材料使用满足消防要求；</w:t>
            </w:r>
            <w:r>
              <w:rPr>
                <w:rFonts w:ascii="宋体" w:hAnsi="宋体" w:eastAsia="宋体" w:cs="宋体"/>
                <w:kern w:val="0"/>
                <w:sz w:val="20"/>
                <w:szCs w:val="20"/>
              </w:rPr>
              <w:br w:type="textWrapping"/>
            </w:r>
            <w:r>
              <w:rPr>
                <w:rFonts w:hint="eastAsia" w:ascii="宋体" w:hAnsi="宋体" w:eastAsia="宋体" w:cs="宋体"/>
                <w:kern w:val="0"/>
                <w:sz w:val="20"/>
                <w:szCs w:val="20"/>
              </w:rPr>
              <w:t>□围护结构选用的保温系统及其构造合理、可靠，材料安全；</w:t>
            </w:r>
            <w:r>
              <w:rPr>
                <w:rFonts w:ascii="宋体" w:hAnsi="宋体" w:eastAsia="宋体" w:cs="宋体"/>
                <w:kern w:val="0"/>
                <w:sz w:val="20"/>
                <w:szCs w:val="20"/>
              </w:rPr>
              <w:br w:type="textWrapping"/>
            </w:r>
            <w:r>
              <w:rPr>
                <w:rFonts w:hint="eastAsia" w:ascii="宋体" w:hAnsi="宋体" w:eastAsia="宋体" w:cs="宋体"/>
                <w:kern w:val="0"/>
                <w:sz w:val="20"/>
                <w:szCs w:val="20"/>
              </w:rPr>
              <w:t>□围护结构选用的保温材料参数依据可靠，围护结构热工参数的取值在国家及浙江省节能相关标准规定的范围内；</w:t>
            </w:r>
          </w:p>
          <w:p>
            <w:pPr>
              <w:widowControl/>
              <w:rPr>
                <w:sz w:val="20"/>
                <w:szCs w:val="20"/>
              </w:rPr>
            </w:pPr>
            <w:r>
              <w:rPr>
                <w:rFonts w:hint="eastAsia" w:ascii="宋体" w:hAnsi="宋体" w:eastAsia="宋体" w:cs="宋体"/>
                <w:kern w:val="0"/>
                <w:sz w:val="20"/>
                <w:szCs w:val="20"/>
              </w:rPr>
              <w:t>□</w:t>
            </w:r>
            <w:r>
              <w:rPr>
                <w:rFonts w:hint="eastAsia"/>
                <w:sz w:val="20"/>
                <w:szCs w:val="20"/>
              </w:rPr>
              <w:t>围护结构热工性能比国家现行相关建筑节能设计标准规定的提高幅度达到</w:t>
            </w:r>
            <w:r>
              <w:rPr>
                <w:sz w:val="20"/>
                <w:szCs w:val="20"/>
              </w:rPr>
              <w:t>5%</w:t>
            </w:r>
            <w:r>
              <w:rPr>
                <w:rFonts w:hint="eastAsia"/>
                <w:sz w:val="20"/>
                <w:szCs w:val="20"/>
              </w:rPr>
              <w:t>或供暖空调全年计算负荷降低幅度达到</w:t>
            </w:r>
            <w:r>
              <w:rPr>
                <w:sz w:val="20"/>
                <w:szCs w:val="20"/>
              </w:rPr>
              <w:t>5%</w:t>
            </w:r>
            <w:r>
              <w:rPr>
                <w:rFonts w:hint="eastAsia"/>
                <w:sz w:val="20"/>
                <w:szCs w:val="20"/>
              </w:rPr>
              <w:t>；</w:t>
            </w:r>
          </w:p>
          <w:p>
            <w:pPr>
              <w:widowControl/>
              <w:rPr>
                <w:rFonts w:ascii="宋体" w:hAnsi="宋体" w:eastAsia="宋体" w:cs="宋体"/>
                <w:kern w:val="0"/>
                <w:sz w:val="20"/>
                <w:szCs w:val="20"/>
              </w:rPr>
            </w:pPr>
            <w:r>
              <w:rPr>
                <w:rFonts w:hint="eastAsia" w:ascii="宋体" w:hAnsi="宋体" w:eastAsia="宋体" w:cs="宋体"/>
                <w:kern w:val="0"/>
                <w:sz w:val="20"/>
                <w:szCs w:val="20"/>
              </w:rPr>
              <w:t>□公共建筑整幢建筑总窗墙面积比不得大于</w:t>
            </w:r>
            <w:r>
              <w:rPr>
                <w:rFonts w:ascii="宋体" w:hAnsi="宋体" w:eastAsia="宋体" w:cs="宋体"/>
                <w:kern w:val="0"/>
                <w:sz w:val="20"/>
                <w:szCs w:val="20"/>
              </w:rPr>
              <w:t>0.70；</w:t>
            </w:r>
            <w:r>
              <w:rPr>
                <w:rFonts w:ascii="宋体" w:hAnsi="宋体" w:eastAsia="宋体" w:cs="宋体"/>
                <w:kern w:val="0"/>
                <w:sz w:val="20"/>
                <w:szCs w:val="20"/>
              </w:rPr>
              <w:br w:type="textWrapping"/>
            </w:r>
            <w:r>
              <w:rPr>
                <w:rFonts w:hint="eastAsia" w:ascii="宋体" w:hAnsi="宋体" w:eastAsia="宋体" w:cs="宋体"/>
                <w:kern w:val="0"/>
                <w:sz w:val="20"/>
                <w:szCs w:val="20"/>
              </w:rPr>
              <w:t>□居住建筑北向空间不应设置凸窗。居住建筑凸窗的顶板、底板或侧向不透光部分应作保温处理，其传热系数不应低于透光部分的传热系数的限值要求；</w:t>
            </w:r>
          </w:p>
          <w:p>
            <w:pPr>
              <w:widowControl/>
              <w:rPr>
                <w:rFonts w:ascii="宋体" w:hAnsi="宋体" w:eastAsia="宋体" w:cs="宋体"/>
                <w:kern w:val="0"/>
                <w:sz w:val="20"/>
                <w:szCs w:val="20"/>
              </w:rPr>
            </w:pPr>
            <w:r>
              <w:rPr>
                <w:rFonts w:hint="eastAsia" w:ascii="宋体" w:hAnsi="宋体" w:eastAsia="宋体" w:cs="宋体"/>
                <w:kern w:val="0"/>
                <w:sz w:val="20"/>
                <w:szCs w:val="20"/>
              </w:rPr>
              <w:t>□居住建筑外窗玻璃的可见光透射比不应小于</w:t>
            </w:r>
            <w:r>
              <w:rPr>
                <w:rFonts w:ascii="宋体" w:hAnsi="宋体" w:eastAsia="宋体" w:cs="宋体"/>
                <w:kern w:val="0"/>
                <w:sz w:val="20"/>
                <w:szCs w:val="20"/>
              </w:rPr>
              <w:t>0.40；</w:t>
            </w:r>
          </w:p>
          <w:p>
            <w:pPr>
              <w:widowControl/>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外窗框与外墙之间缝隙应采用保温材料填充，并用密封材料嵌缝</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□围护结构透光部分（外窗或透光幕墙）应明确玻璃配置（含</w:t>
            </w:r>
            <w:r>
              <w:rPr>
                <w:rFonts w:ascii="宋体" w:hAnsi="宋体" w:eastAsia="宋体" w:cs="宋体"/>
                <w:kern w:val="0"/>
                <w:sz w:val="20"/>
                <w:szCs w:val="20"/>
              </w:rPr>
              <w:t>中空</w:t>
            </w:r>
            <w:r>
              <w:rPr>
                <w:rFonts w:hint="eastAsia" w:ascii="宋体" w:hAnsi="宋体" w:eastAsia="宋体" w:cs="宋体"/>
                <w:kern w:val="0"/>
                <w:sz w:val="20"/>
                <w:szCs w:val="20"/>
              </w:rPr>
              <w:t>层数、玻璃厚度、气体层厚度、镀膜情况、充氩气情况）、窗框配置（</w:t>
            </w:r>
            <w:r>
              <w:rPr>
                <w:rFonts w:ascii="宋体" w:hAnsi="宋体" w:eastAsia="宋体" w:cs="宋体"/>
                <w:kern w:val="0"/>
                <w:sz w:val="20"/>
                <w:szCs w:val="20"/>
              </w:rPr>
              <w:t>应采</w:t>
            </w:r>
            <w:r>
              <w:rPr>
                <w:rFonts w:hint="eastAsia" w:ascii="宋体" w:hAnsi="宋体" w:eastAsia="宋体" w:cs="宋体"/>
                <w:kern w:val="0"/>
                <w:sz w:val="20"/>
                <w:szCs w:val="20"/>
              </w:rPr>
              <w:t>用隔热热桥型材、窗框材料、规格尺寸）、隔热条截面高度、暖边设置情况；</w:t>
            </w:r>
            <w:r>
              <w:rPr>
                <w:rFonts w:ascii="宋体" w:hAnsi="宋体" w:eastAsia="宋体" w:cs="宋体"/>
                <w:kern w:val="0"/>
                <w:sz w:val="20"/>
                <w:szCs w:val="20"/>
              </w:rPr>
              <w:br w:type="textWrapping"/>
            </w:r>
            <w:r>
              <w:rPr>
                <w:rFonts w:hint="eastAsia" w:ascii="宋体" w:hAnsi="宋体" w:eastAsia="宋体" w:cs="宋体"/>
                <w:kern w:val="0"/>
                <w:sz w:val="20"/>
                <w:szCs w:val="20"/>
              </w:rPr>
              <w:t>□居住建筑东、西朝向空调空间的外窗（包括阳台门的透光部分）设置挡板式外遮阳、可调节外遮阳或可调节中置遮阳设施；</w:t>
            </w:r>
            <w:r>
              <w:rPr>
                <w:rFonts w:ascii="宋体" w:hAnsi="宋体" w:eastAsia="宋体" w:cs="宋体"/>
                <w:kern w:val="0"/>
                <w:sz w:val="20"/>
                <w:szCs w:val="20"/>
              </w:rPr>
              <w:br w:type="textWrapping"/>
            </w:r>
            <w:r>
              <w:rPr>
                <w:rFonts w:hint="eastAsia" w:ascii="宋体" w:hAnsi="宋体" w:eastAsia="宋体" w:cs="宋体"/>
                <w:kern w:val="0"/>
                <w:sz w:val="20"/>
                <w:szCs w:val="20"/>
              </w:rPr>
              <w:t>□天窗应设置可调节遮阳设施；</w:t>
            </w:r>
            <w:r>
              <w:rPr>
                <w:rFonts w:ascii="宋体" w:hAnsi="宋体" w:eastAsia="宋体" w:cs="宋体"/>
                <w:kern w:val="0"/>
                <w:sz w:val="20"/>
                <w:szCs w:val="20"/>
              </w:rPr>
              <w:br w:type="textWrapping"/>
            </w:r>
            <w:r>
              <w:rPr>
                <w:rFonts w:hint="eastAsia" w:ascii="宋体" w:hAnsi="宋体" w:eastAsia="宋体" w:cs="宋体"/>
                <w:kern w:val="0"/>
                <w:sz w:val="20"/>
                <w:szCs w:val="20"/>
              </w:rPr>
              <w:t>□公共建筑主要功能房间外窗（包括透光幕墙）除北向外均应采取遮阳措施；</w:t>
            </w:r>
            <w:r>
              <w:rPr>
                <w:rFonts w:ascii="宋体" w:hAnsi="宋体" w:eastAsia="宋体" w:cs="宋体"/>
                <w:kern w:val="0"/>
                <w:sz w:val="20"/>
                <w:szCs w:val="20"/>
              </w:rPr>
              <w:br w:type="textWrapping"/>
            </w:r>
            <w:r>
              <w:rPr>
                <w:rFonts w:hint="eastAsia" w:ascii="宋体" w:hAnsi="宋体" w:eastAsia="宋体" w:cs="宋体"/>
                <w:kern w:val="0"/>
                <w:sz w:val="20"/>
                <w:szCs w:val="20"/>
              </w:rPr>
              <w:t>□居住建筑空调供暖房间的分户楼板的传热系数不应大于</w:t>
            </w:r>
            <w:r>
              <w:rPr>
                <w:rFonts w:ascii="宋体" w:hAnsi="宋体" w:eastAsia="宋体" w:cs="宋体"/>
                <w:kern w:val="0"/>
                <w:sz w:val="20"/>
                <w:szCs w:val="20"/>
              </w:rPr>
              <w:t>1.8W/(m</w:t>
            </w:r>
            <w:r>
              <w:rPr>
                <w:rFonts w:ascii="宋体" w:hAnsi="宋体" w:eastAsia="宋体" w:cs="宋体"/>
                <w:kern w:val="0"/>
                <w:sz w:val="20"/>
                <w:szCs w:val="20"/>
                <w:vertAlign w:val="superscript"/>
              </w:rPr>
              <w:t>2</w:t>
            </w:r>
            <w:r>
              <w:rPr>
                <w:rFonts w:hint="eastAsia" w:ascii="宋体" w:hAnsi="宋体" w:eastAsia="宋体" w:cs="宋体"/>
                <w:kern w:val="0"/>
                <w:sz w:val="20"/>
                <w:szCs w:val="20"/>
              </w:rPr>
              <w:t>·</w:t>
            </w:r>
            <w:r>
              <w:rPr>
                <w:rFonts w:ascii="宋体" w:hAnsi="宋体" w:eastAsia="宋体" w:cs="宋体"/>
                <w:kern w:val="0"/>
                <w:sz w:val="20"/>
                <w:szCs w:val="20"/>
              </w:rPr>
              <w:t xml:space="preserve">K) </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□建筑外门窗设计满足《绿色建筑设计标准》</w:t>
            </w:r>
            <w:r>
              <w:rPr>
                <w:rFonts w:ascii="宋体" w:hAnsi="宋体" w:eastAsia="宋体" w:cs="宋体"/>
                <w:kern w:val="0"/>
                <w:sz w:val="20"/>
                <w:szCs w:val="20"/>
              </w:rPr>
              <w:t>5.2.19条的规定</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□建筑隔声设计应满足《绿色建筑设计标准》</w:t>
            </w:r>
            <w:r>
              <w:rPr>
                <w:rFonts w:ascii="宋体" w:hAnsi="宋体" w:eastAsia="宋体" w:cs="宋体"/>
                <w:kern w:val="0"/>
                <w:sz w:val="20"/>
                <w:szCs w:val="20"/>
              </w:rPr>
              <w:t>5.1.10条的规定</w:t>
            </w:r>
            <w:r>
              <w:rPr>
                <w:rFonts w:hint="eastAsia" w:ascii="宋体" w:hAnsi="宋体" w:eastAsia="宋体" w:cs="宋体"/>
                <w:kern w:val="0"/>
                <w:sz w:val="20"/>
                <w:szCs w:val="20"/>
              </w:rPr>
              <w:t>。</w:t>
            </w:r>
          </w:p>
        </w:tc>
        <w:tc>
          <w:tcPr>
            <w:tcW w:w="4536" w:type="dxa"/>
            <w:vMerge w:val="restart"/>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□建筑材料未使用国家和浙江省禁止和限制使用的建筑材料及制品；</w:t>
            </w:r>
            <w:r>
              <w:rPr>
                <w:rFonts w:ascii="宋体" w:hAnsi="宋体" w:eastAsia="宋体" w:cs="宋体"/>
                <w:kern w:val="0"/>
                <w:sz w:val="20"/>
                <w:szCs w:val="20"/>
              </w:rPr>
              <w:br w:type="textWrapping"/>
            </w:r>
            <w:r>
              <w:rPr>
                <w:rFonts w:hint="eastAsia" w:ascii="宋体" w:hAnsi="宋体" w:eastAsia="宋体" w:cs="宋体"/>
                <w:kern w:val="0"/>
                <w:sz w:val="20"/>
                <w:szCs w:val="20"/>
              </w:rPr>
              <w:t>□建筑保温材料使用满足消防要求；</w:t>
            </w:r>
            <w:r>
              <w:rPr>
                <w:rFonts w:ascii="宋体" w:hAnsi="宋体" w:eastAsia="宋体" w:cs="宋体"/>
                <w:kern w:val="0"/>
                <w:sz w:val="20"/>
                <w:szCs w:val="20"/>
              </w:rPr>
              <w:br w:type="textWrapping"/>
            </w:r>
            <w:r>
              <w:rPr>
                <w:rFonts w:hint="eastAsia" w:ascii="宋体" w:hAnsi="宋体" w:eastAsia="宋体" w:cs="宋体"/>
                <w:kern w:val="0"/>
                <w:sz w:val="20"/>
                <w:szCs w:val="20"/>
              </w:rPr>
              <w:t>□围护结构选用的保温系统及其构造合理、可靠，材料安全；</w:t>
            </w:r>
            <w:r>
              <w:rPr>
                <w:rFonts w:ascii="宋体" w:hAnsi="宋体" w:eastAsia="宋体" w:cs="宋体"/>
                <w:kern w:val="0"/>
                <w:sz w:val="20"/>
                <w:szCs w:val="20"/>
              </w:rPr>
              <w:br w:type="textWrapping"/>
            </w:r>
            <w:r>
              <w:rPr>
                <w:rFonts w:hint="eastAsia" w:ascii="宋体" w:hAnsi="宋体" w:eastAsia="宋体" w:cs="宋体"/>
                <w:kern w:val="0"/>
                <w:sz w:val="20"/>
                <w:szCs w:val="20"/>
              </w:rPr>
              <w:t>□围护结构选用的保温材料参数依据可靠，围护结构热工参数的取值在国家及浙江省节能相关标准规定的范围内；</w:t>
            </w:r>
          </w:p>
          <w:p>
            <w:pPr>
              <w:widowControl/>
              <w:rPr>
                <w:sz w:val="20"/>
                <w:szCs w:val="20"/>
              </w:rPr>
            </w:pPr>
            <w:r>
              <w:rPr>
                <w:rFonts w:hint="eastAsia" w:ascii="宋体" w:hAnsi="宋体" w:eastAsia="宋体" w:cs="宋体"/>
                <w:kern w:val="0"/>
                <w:sz w:val="20"/>
                <w:szCs w:val="20"/>
              </w:rPr>
              <w:t>□</w:t>
            </w:r>
            <w:r>
              <w:rPr>
                <w:rFonts w:hint="eastAsia"/>
                <w:sz w:val="20"/>
                <w:szCs w:val="20"/>
              </w:rPr>
              <w:t>围护结构热工性能比国家现行相关建筑节能设计标准规定的提高幅度达到</w:t>
            </w:r>
            <w:r>
              <w:rPr>
                <w:sz w:val="20"/>
                <w:szCs w:val="20"/>
              </w:rPr>
              <w:t>10%</w:t>
            </w:r>
            <w:r>
              <w:rPr>
                <w:rFonts w:hint="eastAsia"/>
                <w:sz w:val="20"/>
                <w:szCs w:val="20"/>
              </w:rPr>
              <w:t>或供暖空调全年计算负荷降低幅度达到</w:t>
            </w:r>
            <w:r>
              <w:rPr>
                <w:sz w:val="20"/>
                <w:szCs w:val="20"/>
              </w:rPr>
              <w:t>10%</w:t>
            </w:r>
            <w:r>
              <w:rPr>
                <w:rFonts w:hint="eastAsia"/>
                <w:sz w:val="20"/>
                <w:szCs w:val="20"/>
              </w:rPr>
              <w:t>；</w:t>
            </w:r>
          </w:p>
          <w:p>
            <w:pPr>
              <w:widowControl/>
              <w:rPr>
                <w:rFonts w:ascii="宋体" w:hAnsi="宋体" w:eastAsia="宋体" w:cs="宋体"/>
                <w:kern w:val="0"/>
                <w:sz w:val="20"/>
                <w:szCs w:val="20"/>
              </w:rPr>
            </w:pPr>
            <w:r>
              <w:rPr>
                <w:rFonts w:hint="eastAsia" w:ascii="宋体" w:hAnsi="宋体" w:eastAsia="宋体" w:cs="宋体"/>
                <w:kern w:val="0"/>
                <w:sz w:val="20"/>
                <w:szCs w:val="20"/>
              </w:rPr>
              <w:t>□公共建筑整幢建筑总窗墙面积比不得大于</w:t>
            </w:r>
            <w:r>
              <w:rPr>
                <w:rFonts w:ascii="宋体" w:hAnsi="宋体" w:eastAsia="宋体" w:cs="宋体"/>
                <w:kern w:val="0"/>
                <w:sz w:val="20"/>
                <w:szCs w:val="20"/>
              </w:rPr>
              <w:t>0.70；</w:t>
            </w:r>
            <w:r>
              <w:rPr>
                <w:rFonts w:ascii="宋体" w:hAnsi="宋体" w:eastAsia="宋体" w:cs="宋体"/>
                <w:kern w:val="0"/>
                <w:sz w:val="20"/>
                <w:szCs w:val="20"/>
              </w:rPr>
              <w:br w:type="textWrapping"/>
            </w:r>
            <w:r>
              <w:rPr>
                <w:rFonts w:hint="eastAsia" w:ascii="宋体" w:hAnsi="宋体" w:eastAsia="宋体" w:cs="宋体"/>
                <w:kern w:val="0"/>
                <w:sz w:val="20"/>
                <w:szCs w:val="20"/>
              </w:rPr>
              <w:t>□居住建筑北向空间不应设置凸窗。居住建筑凸窗的顶板、底板或侧向不透光部分应作保温处理，其传热系数不应低于透光部分的传热系数的限值要求；</w:t>
            </w:r>
          </w:p>
          <w:p>
            <w:pPr>
              <w:widowControl/>
              <w:rPr>
                <w:rFonts w:ascii="宋体" w:hAnsi="宋体" w:eastAsia="宋体" w:cs="宋体"/>
                <w:kern w:val="0"/>
                <w:sz w:val="20"/>
                <w:szCs w:val="20"/>
              </w:rPr>
            </w:pPr>
            <w:r>
              <w:rPr>
                <w:rFonts w:hint="eastAsia" w:ascii="宋体" w:hAnsi="宋体" w:eastAsia="宋体" w:cs="宋体"/>
                <w:kern w:val="0"/>
                <w:sz w:val="20"/>
                <w:szCs w:val="20"/>
              </w:rPr>
              <w:t>□居住建筑外窗玻璃的可见光透射比不应小于</w:t>
            </w:r>
            <w:r>
              <w:rPr>
                <w:rFonts w:ascii="宋体" w:hAnsi="宋体" w:eastAsia="宋体" w:cs="宋体"/>
                <w:kern w:val="0"/>
                <w:sz w:val="20"/>
                <w:szCs w:val="20"/>
              </w:rPr>
              <w:t>0.40；</w:t>
            </w:r>
          </w:p>
          <w:p>
            <w:pPr>
              <w:widowControl/>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外窗框与外墙之间缝隙应采用保温材料填充，并用密封材料嵌缝</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□围护结构透光部分（外窗或透光幕墙）应明确玻璃配置（含</w:t>
            </w:r>
            <w:r>
              <w:rPr>
                <w:rFonts w:ascii="宋体" w:hAnsi="宋体" w:eastAsia="宋体" w:cs="宋体"/>
                <w:kern w:val="0"/>
                <w:sz w:val="20"/>
                <w:szCs w:val="20"/>
              </w:rPr>
              <w:t>中空</w:t>
            </w:r>
            <w:r>
              <w:rPr>
                <w:rFonts w:hint="eastAsia" w:ascii="宋体" w:hAnsi="宋体" w:eastAsia="宋体" w:cs="宋体"/>
                <w:kern w:val="0"/>
                <w:sz w:val="20"/>
                <w:szCs w:val="20"/>
              </w:rPr>
              <w:t>层数、玻璃厚度、气体层厚度、镀膜情况、充氩气情况）、窗框配置（</w:t>
            </w:r>
            <w:r>
              <w:rPr>
                <w:rFonts w:ascii="宋体" w:hAnsi="宋体" w:eastAsia="宋体" w:cs="宋体"/>
                <w:kern w:val="0"/>
                <w:sz w:val="20"/>
                <w:szCs w:val="20"/>
              </w:rPr>
              <w:t>应采</w:t>
            </w:r>
            <w:r>
              <w:rPr>
                <w:rFonts w:hint="eastAsia" w:ascii="宋体" w:hAnsi="宋体" w:eastAsia="宋体" w:cs="宋体"/>
                <w:kern w:val="0"/>
                <w:sz w:val="20"/>
                <w:szCs w:val="20"/>
              </w:rPr>
              <w:t>用隔热热桥型材、窗框材料、规格尺寸）、隔热条截面高度、暖边设置情况；</w:t>
            </w:r>
            <w:r>
              <w:rPr>
                <w:rFonts w:ascii="宋体" w:hAnsi="宋体" w:eastAsia="宋体" w:cs="宋体"/>
                <w:kern w:val="0"/>
                <w:sz w:val="20"/>
                <w:szCs w:val="20"/>
              </w:rPr>
              <w:br w:type="textWrapping"/>
            </w:r>
            <w:r>
              <w:rPr>
                <w:rFonts w:hint="eastAsia" w:ascii="宋体" w:hAnsi="宋体" w:eastAsia="宋体" w:cs="宋体"/>
                <w:kern w:val="0"/>
                <w:sz w:val="20"/>
                <w:szCs w:val="20"/>
              </w:rPr>
              <w:t>□居住建筑东、西朝向空调空间的外窗（包括阳台门的透光部分）设置挡板式外遮阳、可调节外遮阳或可调节中置遮阳设施；</w:t>
            </w:r>
            <w:r>
              <w:rPr>
                <w:rFonts w:ascii="宋体" w:hAnsi="宋体" w:eastAsia="宋体" w:cs="宋体"/>
                <w:kern w:val="0"/>
                <w:sz w:val="20"/>
                <w:szCs w:val="20"/>
              </w:rPr>
              <w:br w:type="textWrapping"/>
            </w:r>
            <w:r>
              <w:rPr>
                <w:rFonts w:hint="eastAsia" w:ascii="宋体" w:hAnsi="宋体" w:eastAsia="宋体" w:cs="宋体"/>
                <w:kern w:val="0"/>
                <w:sz w:val="20"/>
                <w:szCs w:val="20"/>
              </w:rPr>
              <w:t>□天窗应设置可调节遮阳设施；</w:t>
            </w:r>
            <w:r>
              <w:rPr>
                <w:rFonts w:ascii="宋体" w:hAnsi="宋体" w:eastAsia="宋体" w:cs="宋体"/>
                <w:kern w:val="0"/>
                <w:sz w:val="20"/>
                <w:szCs w:val="20"/>
              </w:rPr>
              <w:br w:type="textWrapping"/>
            </w:r>
            <w:r>
              <w:rPr>
                <w:rFonts w:hint="eastAsia" w:ascii="宋体" w:hAnsi="宋体" w:eastAsia="宋体" w:cs="宋体"/>
                <w:kern w:val="0"/>
                <w:sz w:val="20"/>
                <w:szCs w:val="20"/>
              </w:rPr>
              <w:t>□公共建筑主要功能房间外窗（包括透光幕墙）除北向外均应采取遮阳措施；</w:t>
            </w:r>
            <w:r>
              <w:rPr>
                <w:rFonts w:ascii="宋体" w:hAnsi="宋体" w:eastAsia="宋体" w:cs="宋体"/>
                <w:kern w:val="0"/>
                <w:sz w:val="20"/>
                <w:szCs w:val="20"/>
              </w:rPr>
              <w:br w:type="textWrapping"/>
            </w:r>
            <w:r>
              <w:rPr>
                <w:rFonts w:hint="eastAsia" w:ascii="宋体" w:hAnsi="宋体" w:eastAsia="宋体" w:cs="宋体"/>
                <w:kern w:val="0"/>
                <w:sz w:val="20"/>
                <w:szCs w:val="20"/>
              </w:rPr>
              <w:t>□居住建筑空调供暖房间的分户楼板的传热系数不应大于</w:t>
            </w:r>
            <w:r>
              <w:rPr>
                <w:rFonts w:ascii="宋体" w:hAnsi="宋体" w:eastAsia="宋体" w:cs="宋体"/>
                <w:kern w:val="0"/>
                <w:sz w:val="20"/>
                <w:szCs w:val="20"/>
              </w:rPr>
              <w:t>1.8W/(m</w:t>
            </w:r>
            <w:r>
              <w:rPr>
                <w:rFonts w:ascii="宋体" w:hAnsi="宋体" w:eastAsia="宋体" w:cs="宋体"/>
                <w:kern w:val="0"/>
                <w:sz w:val="20"/>
                <w:szCs w:val="20"/>
                <w:vertAlign w:val="superscript"/>
              </w:rPr>
              <w:t>2</w:t>
            </w:r>
            <w:r>
              <w:rPr>
                <w:rFonts w:hint="eastAsia" w:ascii="宋体" w:hAnsi="宋体" w:eastAsia="宋体" w:cs="宋体"/>
                <w:kern w:val="0"/>
                <w:sz w:val="20"/>
                <w:szCs w:val="20"/>
              </w:rPr>
              <w:t>·</w:t>
            </w:r>
            <w:r>
              <w:rPr>
                <w:rFonts w:ascii="宋体" w:hAnsi="宋体" w:eastAsia="宋体" w:cs="宋体"/>
                <w:kern w:val="0"/>
                <w:sz w:val="20"/>
                <w:szCs w:val="20"/>
              </w:rPr>
              <w:t xml:space="preserve">K) </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□建筑外门窗设计满足《绿色建筑设计标准》</w:t>
            </w:r>
            <w:r>
              <w:rPr>
                <w:rFonts w:ascii="宋体" w:hAnsi="宋体" w:eastAsia="宋体" w:cs="宋体"/>
                <w:kern w:val="0"/>
                <w:sz w:val="20"/>
                <w:szCs w:val="20"/>
              </w:rPr>
              <w:t>5.2.19条、5.3.6条的规定</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□建筑隔声设计应满足《绿色建筑设计标准》</w:t>
            </w:r>
            <w:r>
              <w:rPr>
                <w:rFonts w:ascii="宋体" w:hAnsi="宋体" w:eastAsia="宋体" w:cs="宋体"/>
                <w:kern w:val="0"/>
                <w:sz w:val="20"/>
                <w:szCs w:val="20"/>
              </w:rPr>
              <w:t>5.1.10条、5.3.7条的规定。</w:t>
            </w:r>
          </w:p>
        </w:tc>
        <w:tc>
          <w:tcPr>
            <w:tcW w:w="4434" w:type="dxa"/>
            <w:vMerge w:val="restart"/>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□建筑材料未使用国家和浙江省禁止和限制使用的建筑材料及制品；</w:t>
            </w:r>
            <w:r>
              <w:rPr>
                <w:rFonts w:ascii="宋体" w:hAnsi="宋体" w:eastAsia="宋体" w:cs="宋体"/>
                <w:kern w:val="0"/>
                <w:sz w:val="20"/>
                <w:szCs w:val="20"/>
              </w:rPr>
              <w:br w:type="textWrapping"/>
            </w:r>
            <w:r>
              <w:rPr>
                <w:rFonts w:hint="eastAsia" w:ascii="宋体" w:hAnsi="宋体" w:eastAsia="宋体" w:cs="宋体"/>
                <w:kern w:val="0"/>
                <w:sz w:val="20"/>
                <w:szCs w:val="20"/>
              </w:rPr>
              <w:t>□建筑保温材料使用满足消防要求；</w:t>
            </w:r>
            <w:r>
              <w:rPr>
                <w:rFonts w:ascii="宋体" w:hAnsi="宋体" w:eastAsia="宋体" w:cs="宋体"/>
                <w:kern w:val="0"/>
                <w:sz w:val="20"/>
                <w:szCs w:val="20"/>
              </w:rPr>
              <w:br w:type="textWrapping"/>
            </w:r>
            <w:r>
              <w:rPr>
                <w:rFonts w:hint="eastAsia" w:ascii="宋体" w:hAnsi="宋体" w:eastAsia="宋体" w:cs="宋体"/>
                <w:kern w:val="0"/>
                <w:sz w:val="20"/>
                <w:szCs w:val="20"/>
              </w:rPr>
              <w:t>□围护结构选用的保温系统及其构造合理、可靠，材料安全；</w:t>
            </w:r>
            <w:r>
              <w:rPr>
                <w:rFonts w:ascii="宋体" w:hAnsi="宋体" w:eastAsia="宋体" w:cs="宋体"/>
                <w:kern w:val="0"/>
                <w:sz w:val="20"/>
                <w:szCs w:val="20"/>
              </w:rPr>
              <w:br w:type="textWrapping"/>
            </w:r>
            <w:r>
              <w:rPr>
                <w:rFonts w:hint="eastAsia" w:ascii="宋体" w:hAnsi="宋体" w:eastAsia="宋体" w:cs="宋体"/>
                <w:kern w:val="0"/>
                <w:sz w:val="20"/>
                <w:szCs w:val="20"/>
              </w:rPr>
              <w:t>□围护结构选用的保温材料参数依据可靠，围护结构热工参数的取值在国家及浙江省节能相关标准规定的范围内；</w:t>
            </w:r>
          </w:p>
          <w:p>
            <w:pPr>
              <w:widowControl/>
              <w:rPr>
                <w:sz w:val="20"/>
                <w:szCs w:val="20"/>
              </w:rPr>
            </w:pPr>
            <w:r>
              <w:rPr>
                <w:rFonts w:hint="eastAsia" w:ascii="宋体" w:hAnsi="宋体" w:eastAsia="宋体" w:cs="宋体"/>
                <w:kern w:val="0"/>
                <w:sz w:val="20"/>
                <w:szCs w:val="20"/>
              </w:rPr>
              <w:t>□</w:t>
            </w:r>
            <w:r>
              <w:rPr>
                <w:rFonts w:hint="eastAsia"/>
                <w:sz w:val="20"/>
                <w:szCs w:val="20"/>
              </w:rPr>
              <w:t>围护结构热工性能比国家现行相关建筑节能设计标准规定的提高幅度达到</w:t>
            </w:r>
            <w:r>
              <w:rPr>
                <w:sz w:val="20"/>
                <w:szCs w:val="20"/>
              </w:rPr>
              <w:t>20%</w:t>
            </w:r>
            <w:r>
              <w:rPr>
                <w:rFonts w:hint="eastAsia"/>
                <w:sz w:val="20"/>
                <w:szCs w:val="20"/>
              </w:rPr>
              <w:t>或供暖空调全年计算负荷降低幅度达到</w:t>
            </w:r>
            <w:r>
              <w:rPr>
                <w:sz w:val="20"/>
                <w:szCs w:val="20"/>
              </w:rPr>
              <w:t>15%</w:t>
            </w:r>
            <w:r>
              <w:rPr>
                <w:rFonts w:hint="eastAsia"/>
                <w:sz w:val="20"/>
                <w:szCs w:val="20"/>
              </w:rPr>
              <w:t>；</w:t>
            </w:r>
          </w:p>
          <w:p>
            <w:pPr>
              <w:widowControl/>
              <w:rPr>
                <w:rFonts w:ascii="宋体" w:hAnsi="宋体" w:eastAsia="宋体" w:cs="宋体"/>
                <w:kern w:val="0"/>
                <w:sz w:val="20"/>
                <w:szCs w:val="20"/>
              </w:rPr>
            </w:pPr>
            <w:r>
              <w:rPr>
                <w:rFonts w:hint="eastAsia" w:ascii="宋体" w:hAnsi="宋体" w:eastAsia="宋体" w:cs="宋体"/>
                <w:kern w:val="0"/>
                <w:sz w:val="20"/>
                <w:szCs w:val="20"/>
              </w:rPr>
              <w:t>□公共建筑整幢建筑总窗墙面积比不得大于</w:t>
            </w:r>
            <w:r>
              <w:rPr>
                <w:rFonts w:ascii="宋体" w:hAnsi="宋体" w:eastAsia="宋体" w:cs="宋体"/>
                <w:kern w:val="0"/>
                <w:sz w:val="20"/>
                <w:szCs w:val="20"/>
              </w:rPr>
              <w:t>0.70；</w:t>
            </w:r>
            <w:r>
              <w:rPr>
                <w:rFonts w:ascii="宋体" w:hAnsi="宋体" w:eastAsia="宋体" w:cs="宋体"/>
                <w:kern w:val="0"/>
                <w:sz w:val="20"/>
                <w:szCs w:val="20"/>
              </w:rPr>
              <w:br w:type="textWrapping"/>
            </w:r>
            <w:r>
              <w:rPr>
                <w:rFonts w:hint="eastAsia" w:ascii="宋体" w:hAnsi="宋体" w:eastAsia="宋体" w:cs="宋体"/>
                <w:kern w:val="0"/>
                <w:sz w:val="20"/>
                <w:szCs w:val="20"/>
              </w:rPr>
              <w:t>□居住建筑北向空间不应设置凸窗。居住建筑凸窗的顶板、底板或侧向不透光部分应作保温处理，其传热系数不应低于透光部分的传热系数的限值要求；</w:t>
            </w:r>
          </w:p>
          <w:p>
            <w:pPr>
              <w:widowControl/>
              <w:rPr>
                <w:rFonts w:ascii="宋体" w:hAnsi="宋体" w:eastAsia="宋体" w:cs="宋体"/>
                <w:kern w:val="0"/>
                <w:sz w:val="20"/>
                <w:szCs w:val="20"/>
              </w:rPr>
            </w:pPr>
            <w:r>
              <w:rPr>
                <w:rFonts w:hint="eastAsia" w:ascii="宋体" w:hAnsi="宋体" w:eastAsia="宋体" w:cs="宋体"/>
                <w:kern w:val="0"/>
                <w:sz w:val="20"/>
                <w:szCs w:val="20"/>
              </w:rPr>
              <w:t>□居住建筑外窗玻璃的可见光透射比不应小于</w:t>
            </w:r>
            <w:r>
              <w:rPr>
                <w:rFonts w:ascii="宋体" w:hAnsi="宋体" w:eastAsia="宋体" w:cs="宋体"/>
                <w:kern w:val="0"/>
                <w:sz w:val="20"/>
                <w:szCs w:val="20"/>
              </w:rPr>
              <w:t>0.40；</w:t>
            </w:r>
          </w:p>
          <w:p>
            <w:pPr>
              <w:widowControl/>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外窗框与外墙之间缝隙应采用保温材料填充，并用密封材料嵌缝</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□围护结构透光部分（外窗或透光幕墙）应明确玻璃配置（含</w:t>
            </w:r>
            <w:r>
              <w:rPr>
                <w:rFonts w:ascii="宋体" w:hAnsi="宋体" w:eastAsia="宋体" w:cs="宋体"/>
                <w:kern w:val="0"/>
                <w:sz w:val="20"/>
                <w:szCs w:val="20"/>
              </w:rPr>
              <w:t>中空</w:t>
            </w:r>
            <w:r>
              <w:rPr>
                <w:rFonts w:hint="eastAsia" w:ascii="宋体" w:hAnsi="宋体" w:eastAsia="宋体" w:cs="宋体"/>
                <w:kern w:val="0"/>
                <w:sz w:val="20"/>
                <w:szCs w:val="20"/>
              </w:rPr>
              <w:t>层数、玻璃厚度、气体层厚度、镀膜情况、充氩气情况）、窗框配置（</w:t>
            </w:r>
            <w:r>
              <w:rPr>
                <w:rFonts w:ascii="宋体" w:hAnsi="宋体" w:eastAsia="宋体" w:cs="宋体"/>
                <w:kern w:val="0"/>
                <w:sz w:val="20"/>
                <w:szCs w:val="20"/>
              </w:rPr>
              <w:t>应采</w:t>
            </w:r>
            <w:r>
              <w:rPr>
                <w:rFonts w:hint="eastAsia" w:ascii="宋体" w:hAnsi="宋体" w:eastAsia="宋体" w:cs="宋体"/>
                <w:kern w:val="0"/>
                <w:sz w:val="20"/>
                <w:szCs w:val="20"/>
              </w:rPr>
              <w:t>用隔热热桥型材、窗框材料、规格尺寸）、隔热条截面高度、暖边设置情况；</w:t>
            </w:r>
            <w:r>
              <w:rPr>
                <w:rFonts w:ascii="宋体" w:hAnsi="宋体" w:eastAsia="宋体" w:cs="宋体"/>
                <w:kern w:val="0"/>
                <w:sz w:val="20"/>
                <w:szCs w:val="20"/>
              </w:rPr>
              <w:br w:type="textWrapping"/>
            </w:r>
            <w:r>
              <w:rPr>
                <w:rFonts w:hint="eastAsia" w:ascii="宋体" w:hAnsi="宋体" w:eastAsia="宋体" w:cs="宋体"/>
                <w:kern w:val="0"/>
                <w:sz w:val="20"/>
                <w:szCs w:val="20"/>
              </w:rPr>
              <w:t>□居住建筑东、西朝向空调空间的外窗（包括阳台门的透光部分）设置挡板式外遮阳、可调节外遮阳或可调节中置遮阳设施；</w:t>
            </w:r>
            <w:r>
              <w:rPr>
                <w:rFonts w:ascii="宋体" w:hAnsi="宋体" w:eastAsia="宋体" w:cs="宋体"/>
                <w:kern w:val="0"/>
                <w:sz w:val="20"/>
                <w:szCs w:val="20"/>
              </w:rPr>
              <w:br w:type="textWrapping"/>
            </w:r>
            <w:r>
              <w:rPr>
                <w:rFonts w:hint="eastAsia" w:ascii="宋体" w:hAnsi="宋体" w:eastAsia="宋体" w:cs="宋体"/>
                <w:kern w:val="0"/>
                <w:sz w:val="20"/>
                <w:szCs w:val="20"/>
              </w:rPr>
              <w:t>□天窗应设置可调节遮阳设施；</w:t>
            </w:r>
            <w:r>
              <w:rPr>
                <w:rFonts w:ascii="宋体" w:hAnsi="宋体" w:eastAsia="宋体" w:cs="宋体"/>
                <w:kern w:val="0"/>
                <w:sz w:val="20"/>
                <w:szCs w:val="20"/>
              </w:rPr>
              <w:br w:type="textWrapping"/>
            </w:r>
            <w:r>
              <w:rPr>
                <w:rFonts w:hint="eastAsia" w:ascii="宋体" w:hAnsi="宋体" w:eastAsia="宋体" w:cs="宋体"/>
                <w:kern w:val="0"/>
                <w:sz w:val="20"/>
                <w:szCs w:val="20"/>
              </w:rPr>
              <w:t>□公共建筑主要功能房间外窗（包括透光幕墙）除北向外均应采取遮阳措施；</w:t>
            </w:r>
            <w:r>
              <w:rPr>
                <w:rFonts w:ascii="宋体" w:hAnsi="宋体" w:eastAsia="宋体" w:cs="宋体"/>
                <w:kern w:val="0"/>
                <w:sz w:val="20"/>
                <w:szCs w:val="20"/>
              </w:rPr>
              <w:br w:type="textWrapping"/>
            </w:r>
            <w:r>
              <w:rPr>
                <w:rFonts w:hint="eastAsia" w:ascii="宋体" w:hAnsi="宋体" w:eastAsia="宋体" w:cs="宋体"/>
                <w:kern w:val="0"/>
                <w:sz w:val="20"/>
                <w:szCs w:val="20"/>
              </w:rPr>
              <w:t>□居住建筑空调供暖房间的分户楼板的传热系数不应大于</w:t>
            </w:r>
            <w:r>
              <w:rPr>
                <w:rFonts w:ascii="宋体" w:hAnsi="宋体" w:eastAsia="宋体" w:cs="宋体"/>
                <w:kern w:val="0"/>
                <w:sz w:val="20"/>
                <w:szCs w:val="20"/>
              </w:rPr>
              <w:t>1.8W/(m</w:t>
            </w:r>
            <w:r>
              <w:rPr>
                <w:rFonts w:ascii="宋体" w:hAnsi="宋体" w:eastAsia="宋体" w:cs="宋体"/>
                <w:kern w:val="0"/>
                <w:sz w:val="20"/>
                <w:szCs w:val="20"/>
                <w:vertAlign w:val="superscript"/>
              </w:rPr>
              <w:t>2</w:t>
            </w:r>
            <w:r>
              <w:rPr>
                <w:rFonts w:hint="eastAsia" w:ascii="宋体" w:hAnsi="宋体" w:eastAsia="宋体" w:cs="宋体"/>
                <w:kern w:val="0"/>
                <w:sz w:val="20"/>
                <w:szCs w:val="20"/>
              </w:rPr>
              <w:t>·</w:t>
            </w:r>
            <w:r>
              <w:rPr>
                <w:rFonts w:ascii="宋体" w:hAnsi="宋体" w:eastAsia="宋体" w:cs="宋体"/>
                <w:kern w:val="0"/>
                <w:sz w:val="20"/>
                <w:szCs w:val="20"/>
              </w:rPr>
              <w:t>K)</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□建筑外门窗设计满足《绿色建筑设计标准》</w:t>
            </w:r>
            <w:r>
              <w:rPr>
                <w:rFonts w:ascii="宋体" w:hAnsi="宋体" w:eastAsia="宋体" w:cs="宋体"/>
                <w:kern w:val="0"/>
                <w:sz w:val="20"/>
                <w:szCs w:val="20"/>
              </w:rPr>
              <w:t>5.2.19条、5.3.6条、5.4.10</w:t>
            </w:r>
            <w:r>
              <w:rPr>
                <w:rFonts w:hint="eastAsia" w:ascii="宋体" w:hAnsi="宋体" w:eastAsia="宋体" w:cs="宋体"/>
                <w:kern w:val="0"/>
                <w:sz w:val="20"/>
                <w:szCs w:val="20"/>
              </w:rPr>
              <w:t>条的规定；</w:t>
            </w:r>
            <w:r>
              <w:rPr>
                <w:rFonts w:ascii="宋体" w:hAnsi="宋体" w:eastAsia="宋体" w:cs="宋体"/>
                <w:kern w:val="0"/>
                <w:sz w:val="20"/>
                <w:szCs w:val="20"/>
              </w:rPr>
              <w:br w:type="textWrapping"/>
            </w:r>
            <w:r>
              <w:rPr>
                <w:rFonts w:hint="eastAsia" w:ascii="宋体" w:hAnsi="宋体" w:eastAsia="宋体" w:cs="宋体"/>
                <w:kern w:val="0"/>
                <w:sz w:val="20"/>
                <w:szCs w:val="20"/>
              </w:rPr>
              <w:t>□建筑隔声设计应满足《绿色建筑设计标准》</w:t>
            </w:r>
            <w:r>
              <w:rPr>
                <w:rFonts w:ascii="宋体" w:hAnsi="宋体" w:eastAsia="宋体" w:cs="宋体"/>
                <w:kern w:val="0"/>
                <w:sz w:val="20"/>
                <w:szCs w:val="20"/>
              </w:rPr>
              <w:t>5.1.10条、5.3.7条、5.4.13</w:t>
            </w:r>
            <w:r>
              <w:rPr>
                <w:rFonts w:hint="eastAsia" w:ascii="宋体" w:hAnsi="宋体" w:eastAsia="宋体" w:cs="宋体"/>
                <w:kern w:val="0"/>
                <w:sz w:val="20"/>
                <w:szCs w:val="20"/>
              </w:rPr>
              <w:t>条的规定。</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围护结构（内外墙、屋面、架空楼板、居住建筑分户楼板）的构造做法、主要保温材料及燃烧性能等级</w:t>
            </w:r>
          </w:p>
        </w:tc>
        <w:tc>
          <w:tcPr>
            <w:tcW w:w="4536" w:type="dxa"/>
            <w:vMerge w:val="continue"/>
            <w:vAlign w:val="center"/>
          </w:tcPr>
          <w:p>
            <w:pPr>
              <w:widowControl/>
              <w:jc w:val="left"/>
              <w:rPr>
                <w:rFonts w:ascii="宋体" w:hAnsi="宋体" w:eastAsia="宋体" w:cs="宋体"/>
                <w:kern w:val="0"/>
                <w:sz w:val="20"/>
                <w:szCs w:val="20"/>
              </w:rPr>
            </w:pPr>
          </w:p>
        </w:tc>
        <w:tc>
          <w:tcPr>
            <w:tcW w:w="4536" w:type="dxa"/>
            <w:vMerge w:val="continue"/>
            <w:vAlign w:val="center"/>
          </w:tcPr>
          <w:p>
            <w:pPr>
              <w:widowControl/>
              <w:jc w:val="left"/>
              <w:rPr>
                <w:rFonts w:ascii="宋体" w:hAnsi="宋体" w:eastAsia="宋体" w:cs="宋体"/>
                <w:kern w:val="0"/>
                <w:sz w:val="20"/>
                <w:szCs w:val="20"/>
              </w:rPr>
            </w:pPr>
          </w:p>
        </w:tc>
        <w:tc>
          <w:tcPr>
            <w:tcW w:w="4434"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建筑的窗墙面积比设计要求</w:t>
            </w:r>
          </w:p>
        </w:tc>
        <w:tc>
          <w:tcPr>
            <w:tcW w:w="4536" w:type="dxa"/>
            <w:vMerge w:val="continue"/>
            <w:vAlign w:val="center"/>
          </w:tcPr>
          <w:p>
            <w:pPr>
              <w:widowControl/>
              <w:jc w:val="left"/>
              <w:rPr>
                <w:rFonts w:ascii="宋体" w:hAnsi="宋体" w:eastAsia="宋体" w:cs="宋体"/>
                <w:kern w:val="0"/>
                <w:sz w:val="20"/>
                <w:szCs w:val="20"/>
              </w:rPr>
            </w:pPr>
          </w:p>
        </w:tc>
        <w:tc>
          <w:tcPr>
            <w:tcW w:w="4536" w:type="dxa"/>
            <w:vMerge w:val="continue"/>
            <w:vAlign w:val="center"/>
          </w:tcPr>
          <w:p>
            <w:pPr>
              <w:widowControl/>
              <w:jc w:val="left"/>
              <w:rPr>
                <w:rFonts w:ascii="宋体" w:hAnsi="宋体" w:eastAsia="宋体" w:cs="宋体"/>
                <w:kern w:val="0"/>
                <w:sz w:val="20"/>
                <w:szCs w:val="20"/>
              </w:rPr>
            </w:pPr>
          </w:p>
        </w:tc>
        <w:tc>
          <w:tcPr>
            <w:tcW w:w="4434"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建筑外窗（包括透光幕墙）的构造、热工性能、玻璃可见光透射比要求、遮阳措施及遮阳系数要求</w:t>
            </w:r>
          </w:p>
        </w:tc>
        <w:tc>
          <w:tcPr>
            <w:tcW w:w="4536" w:type="dxa"/>
            <w:vMerge w:val="continue"/>
            <w:vAlign w:val="center"/>
          </w:tcPr>
          <w:p>
            <w:pPr>
              <w:widowControl/>
              <w:jc w:val="left"/>
              <w:rPr>
                <w:rFonts w:ascii="宋体" w:hAnsi="宋体" w:eastAsia="宋体" w:cs="宋体"/>
                <w:kern w:val="0"/>
                <w:sz w:val="20"/>
                <w:szCs w:val="20"/>
              </w:rPr>
            </w:pPr>
          </w:p>
        </w:tc>
        <w:tc>
          <w:tcPr>
            <w:tcW w:w="4536" w:type="dxa"/>
            <w:vMerge w:val="continue"/>
            <w:vAlign w:val="center"/>
          </w:tcPr>
          <w:p>
            <w:pPr>
              <w:widowControl/>
              <w:jc w:val="left"/>
              <w:rPr>
                <w:rFonts w:ascii="宋体" w:hAnsi="宋体" w:eastAsia="宋体" w:cs="宋体"/>
                <w:kern w:val="0"/>
                <w:sz w:val="20"/>
                <w:szCs w:val="20"/>
              </w:rPr>
            </w:pPr>
          </w:p>
        </w:tc>
        <w:tc>
          <w:tcPr>
            <w:tcW w:w="4434"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凸窗、天窗的设计要求；</w:t>
            </w:r>
          </w:p>
        </w:tc>
        <w:tc>
          <w:tcPr>
            <w:tcW w:w="4536" w:type="dxa"/>
            <w:vMerge w:val="continue"/>
            <w:vAlign w:val="center"/>
          </w:tcPr>
          <w:p>
            <w:pPr>
              <w:widowControl/>
              <w:jc w:val="left"/>
              <w:rPr>
                <w:rFonts w:ascii="宋体" w:hAnsi="宋体" w:eastAsia="宋体" w:cs="宋体"/>
                <w:kern w:val="0"/>
                <w:sz w:val="20"/>
                <w:szCs w:val="20"/>
              </w:rPr>
            </w:pPr>
          </w:p>
        </w:tc>
        <w:tc>
          <w:tcPr>
            <w:tcW w:w="4536" w:type="dxa"/>
            <w:vMerge w:val="continue"/>
            <w:vAlign w:val="center"/>
          </w:tcPr>
          <w:p>
            <w:pPr>
              <w:widowControl/>
              <w:jc w:val="left"/>
              <w:rPr>
                <w:rFonts w:ascii="宋体" w:hAnsi="宋体" w:eastAsia="宋体" w:cs="宋体"/>
                <w:kern w:val="0"/>
                <w:sz w:val="20"/>
                <w:szCs w:val="20"/>
              </w:rPr>
            </w:pPr>
          </w:p>
        </w:tc>
        <w:tc>
          <w:tcPr>
            <w:tcW w:w="4434"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bl>
    <w:p/>
    <w:tbl>
      <w:tblPr>
        <w:tblStyle w:val="24"/>
        <w:tblW w:w="2126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948"/>
        <w:gridCol w:w="4536"/>
        <w:gridCol w:w="4536"/>
        <w:gridCol w:w="4434"/>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867"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3506"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867"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434"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jc w:val="center"/>
              <w:rPr>
                <w:rFonts w:ascii="宋体" w:hAnsi="宋体" w:eastAsia="宋体" w:cs="宋体"/>
                <w:sz w:val="20"/>
                <w:szCs w:val="20"/>
              </w:rPr>
            </w:pPr>
            <w:r>
              <w:rPr>
                <w:rFonts w:hint="eastAsia" w:ascii="宋体" w:hAnsi="宋体" w:eastAsia="宋体" w:cs="宋体"/>
                <w:b/>
                <w:bCs/>
                <w:kern w:val="0"/>
                <w:sz w:val="20"/>
                <w:szCs w:val="20"/>
              </w:rPr>
              <w:t>建筑</w:t>
            </w:r>
          </w:p>
        </w:tc>
        <w:tc>
          <w:tcPr>
            <w:tcW w:w="4867" w:type="dxa"/>
            <w:gridSpan w:val="2"/>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建筑总平图设计要求</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□土地开发</w:t>
            </w:r>
            <w:r>
              <w:rPr>
                <w:rFonts w:ascii="宋体" w:hAnsi="宋体" w:eastAsia="宋体" w:cs="宋体"/>
                <w:kern w:val="0"/>
                <w:sz w:val="20"/>
                <w:szCs w:val="20"/>
              </w:rPr>
              <w:t>利用</w:t>
            </w:r>
            <w:r>
              <w:rPr>
                <w:rFonts w:hint="eastAsia" w:ascii="宋体" w:hAnsi="宋体" w:eastAsia="宋体" w:cs="宋体"/>
                <w:kern w:val="0"/>
                <w:sz w:val="20"/>
                <w:szCs w:val="20"/>
              </w:rPr>
              <w:t>应符合《绿色建筑设计标准》的</w:t>
            </w:r>
            <w:r>
              <w:rPr>
                <w:rFonts w:ascii="宋体" w:hAnsi="宋体" w:eastAsia="宋体" w:cs="宋体"/>
                <w:kern w:val="0"/>
                <w:sz w:val="20"/>
                <w:szCs w:val="20"/>
              </w:rPr>
              <w:t>4.2.3</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□地下空间</w:t>
            </w:r>
            <w:r>
              <w:rPr>
                <w:rFonts w:ascii="宋体" w:hAnsi="宋体" w:eastAsia="宋体" w:cs="宋体"/>
                <w:kern w:val="0"/>
                <w:sz w:val="20"/>
                <w:szCs w:val="20"/>
              </w:rPr>
              <w:t>的</w:t>
            </w:r>
            <w:r>
              <w:rPr>
                <w:rFonts w:hint="eastAsia" w:ascii="宋体" w:hAnsi="宋体" w:eastAsia="宋体" w:cs="宋体"/>
                <w:kern w:val="0"/>
                <w:sz w:val="20"/>
                <w:szCs w:val="20"/>
              </w:rPr>
              <w:t>开发</w:t>
            </w:r>
            <w:r>
              <w:rPr>
                <w:rFonts w:ascii="宋体" w:hAnsi="宋体" w:eastAsia="宋体" w:cs="宋体"/>
                <w:kern w:val="0"/>
                <w:sz w:val="20"/>
                <w:szCs w:val="20"/>
              </w:rPr>
              <w:t>利用</w:t>
            </w:r>
            <w:r>
              <w:rPr>
                <w:rFonts w:hint="eastAsia" w:ascii="宋体" w:hAnsi="宋体" w:eastAsia="宋体" w:cs="宋体"/>
                <w:kern w:val="0"/>
                <w:sz w:val="20"/>
                <w:szCs w:val="20"/>
              </w:rPr>
              <w:t>需符合《绿色建筑设计标准》的</w:t>
            </w:r>
            <w:r>
              <w:rPr>
                <w:rFonts w:ascii="宋体" w:hAnsi="宋体" w:eastAsia="宋体" w:cs="宋体"/>
                <w:kern w:val="0"/>
                <w:sz w:val="20"/>
                <w:szCs w:val="20"/>
              </w:rPr>
              <w:t>4.2.4</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□场地的公共服务设施设计合理，符合《绿色建筑设计标准》的</w:t>
            </w:r>
            <w:r>
              <w:rPr>
                <w:rFonts w:ascii="宋体" w:hAnsi="宋体" w:eastAsia="宋体" w:cs="宋体"/>
                <w:kern w:val="0"/>
                <w:sz w:val="20"/>
                <w:szCs w:val="20"/>
              </w:rPr>
              <w:t>4.2.12</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□场地交通设计合理，符合《绿色建筑设计标准》的</w:t>
            </w:r>
            <w:r>
              <w:rPr>
                <w:rFonts w:ascii="宋体" w:hAnsi="宋体" w:eastAsia="宋体" w:cs="宋体"/>
                <w:kern w:val="0"/>
                <w:sz w:val="20"/>
                <w:szCs w:val="20"/>
              </w:rPr>
              <w:t>4.2.10</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□场地内的机动车停车设施设计合理，符合《绿色建筑设计标准》的</w:t>
            </w:r>
            <w:r>
              <w:rPr>
                <w:rFonts w:ascii="宋体" w:hAnsi="宋体" w:eastAsia="宋体" w:cs="宋体"/>
                <w:kern w:val="0"/>
                <w:sz w:val="20"/>
                <w:szCs w:val="20"/>
              </w:rPr>
              <w:t>4.2.11条的要求</w:t>
            </w:r>
          </w:p>
          <w:p>
            <w:pPr>
              <w:widowControl/>
              <w:jc w:val="left"/>
              <w:rPr>
                <w:rFonts w:ascii="宋体" w:hAnsi="宋体" w:eastAsia="宋体" w:cs="宋体"/>
                <w:bCs/>
                <w:kern w:val="0"/>
                <w:sz w:val="20"/>
                <w:szCs w:val="20"/>
              </w:rPr>
            </w:pPr>
            <w:r>
              <w:rPr>
                <w:rFonts w:hint="eastAsia" w:ascii="宋体" w:hAnsi="宋体" w:eastAsia="宋体" w:cs="宋体"/>
                <w:kern w:val="0"/>
                <w:sz w:val="20"/>
                <w:szCs w:val="20"/>
              </w:rPr>
              <w:t>□场地</w:t>
            </w:r>
            <w:r>
              <w:rPr>
                <w:rFonts w:ascii="宋体" w:hAnsi="宋体" w:eastAsia="宋体" w:cs="宋体"/>
                <w:kern w:val="0"/>
                <w:sz w:val="20"/>
                <w:szCs w:val="20"/>
              </w:rPr>
              <w:t>内无障碍与安全</w:t>
            </w:r>
            <w:r>
              <w:rPr>
                <w:rFonts w:hint="eastAsia" w:ascii="宋体" w:hAnsi="宋体" w:eastAsia="宋体" w:cs="宋体"/>
                <w:kern w:val="0"/>
                <w:sz w:val="20"/>
                <w:szCs w:val="20"/>
              </w:rPr>
              <w:t>设计合理，符合《绿色建筑设计标准》的一星级绿色建筑设计的要求</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□土地开发</w:t>
            </w:r>
            <w:r>
              <w:rPr>
                <w:rFonts w:ascii="宋体" w:hAnsi="宋体" w:eastAsia="宋体" w:cs="宋体"/>
                <w:kern w:val="0"/>
                <w:sz w:val="20"/>
                <w:szCs w:val="20"/>
              </w:rPr>
              <w:t>利用：公共建筑</w:t>
            </w:r>
            <w:r>
              <w:rPr>
                <w:rFonts w:hint="eastAsia" w:ascii="宋体" w:hAnsi="宋体" w:eastAsia="宋体" w:cs="宋体"/>
                <w:kern w:val="0"/>
                <w:sz w:val="20"/>
                <w:szCs w:val="20"/>
              </w:rPr>
              <w:t>应符合《绿色建筑设计标准》的</w:t>
            </w:r>
            <w:r>
              <w:rPr>
                <w:rFonts w:ascii="宋体" w:hAnsi="宋体" w:eastAsia="宋体" w:cs="宋体"/>
                <w:kern w:val="0"/>
                <w:sz w:val="20"/>
                <w:szCs w:val="20"/>
              </w:rPr>
              <w:t>4.3.1</w:t>
            </w:r>
            <w:r>
              <w:rPr>
                <w:rFonts w:hint="eastAsia" w:ascii="宋体" w:hAnsi="宋体" w:eastAsia="宋体" w:cs="宋体"/>
                <w:kern w:val="0"/>
                <w:sz w:val="20"/>
                <w:szCs w:val="20"/>
              </w:rPr>
              <w:t>条的要求，住宅建筑应符合其中</w:t>
            </w:r>
            <w:r>
              <w:rPr>
                <w:rFonts w:ascii="宋体" w:hAnsi="宋体" w:eastAsia="宋体" w:cs="宋体"/>
                <w:kern w:val="0"/>
                <w:sz w:val="20"/>
                <w:szCs w:val="20"/>
              </w:rPr>
              <w:t>4.2.3条的相关要求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□地下空间</w:t>
            </w:r>
            <w:r>
              <w:rPr>
                <w:rFonts w:ascii="宋体" w:hAnsi="宋体" w:eastAsia="宋体" w:cs="宋体"/>
                <w:kern w:val="0"/>
                <w:sz w:val="20"/>
                <w:szCs w:val="20"/>
              </w:rPr>
              <w:t>的</w:t>
            </w:r>
            <w:r>
              <w:rPr>
                <w:rFonts w:hint="eastAsia" w:ascii="宋体" w:hAnsi="宋体" w:eastAsia="宋体" w:cs="宋体"/>
                <w:kern w:val="0"/>
                <w:sz w:val="20"/>
                <w:szCs w:val="20"/>
              </w:rPr>
              <w:t>开发</w:t>
            </w:r>
            <w:r>
              <w:rPr>
                <w:rFonts w:ascii="宋体" w:hAnsi="宋体" w:eastAsia="宋体" w:cs="宋体"/>
                <w:kern w:val="0"/>
                <w:sz w:val="20"/>
                <w:szCs w:val="20"/>
              </w:rPr>
              <w:t>利用</w:t>
            </w:r>
            <w:r>
              <w:rPr>
                <w:rFonts w:hint="eastAsia" w:ascii="宋体" w:hAnsi="宋体" w:eastAsia="宋体" w:cs="宋体"/>
                <w:kern w:val="0"/>
                <w:sz w:val="20"/>
                <w:szCs w:val="20"/>
              </w:rPr>
              <w:t>需符合《绿色建筑设计标准》的</w:t>
            </w:r>
            <w:r>
              <w:rPr>
                <w:rFonts w:ascii="宋体" w:hAnsi="宋体" w:eastAsia="宋体" w:cs="宋体"/>
                <w:kern w:val="0"/>
                <w:sz w:val="20"/>
                <w:szCs w:val="20"/>
              </w:rPr>
              <w:t>4.3.2</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□场地的公共服务设施设计合理，符合《绿色建筑设计标准》的</w:t>
            </w:r>
            <w:r>
              <w:rPr>
                <w:rFonts w:ascii="宋体" w:hAnsi="宋体" w:eastAsia="宋体" w:cs="宋体"/>
                <w:kern w:val="0"/>
                <w:sz w:val="20"/>
                <w:szCs w:val="20"/>
              </w:rPr>
              <w:t>4.2.12</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□场地交通设计合理，符合《绿色建筑设计标准》的</w:t>
            </w:r>
            <w:r>
              <w:rPr>
                <w:rFonts w:ascii="宋体" w:hAnsi="宋体" w:eastAsia="宋体" w:cs="宋体"/>
                <w:kern w:val="0"/>
                <w:sz w:val="20"/>
                <w:szCs w:val="20"/>
              </w:rPr>
              <w:t>4.3.5</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□场地内的机动车停车设施设计合理，符合《绿色建筑设计标准》的</w:t>
            </w:r>
            <w:r>
              <w:rPr>
                <w:rFonts w:ascii="宋体" w:hAnsi="宋体" w:eastAsia="宋体" w:cs="宋体"/>
                <w:kern w:val="0"/>
                <w:sz w:val="20"/>
                <w:szCs w:val="20"/>
              </w:rPr>
              <w:t>4.2.11条的要求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w:t>
            </w:r>
            <w:r>
              <w:rPr>
                <w:rFonts w:ascii="宋体" w:hAnsi="宋体" w:eastAsia="宋体" w:cs="宋体"/>
                <w:kern w:val="0"/>
                <w:sz w:val="20"/>
                <w:szCs w:val="20"/>
              </w:rPr>
              <w:t>内无障碍与安全</w:t>
            </w:r>
            <w:r>
              <w:rPr>
                <w:rFonts w:hint="eastAsia" w:ascii="宋体" w:hAnsi="宋体" w:eastAsia="宋体" w:cs="宋体"/>
                <w:kern w:val="0"/>
                <w:sz w:val="20"/>
                <w:szCs w:val="20"/>
              </w:rPr>
              <w:t>设计合理，符合《绿色建筑设计标准》的一星级及</w:t>
            </w:r>
            <w:r>
              <w:rPr>
                <w:rFonts w:ascii="宋体" w:hAnsi="宋体" w:eastAsia="宋体" w:cs="宋体"/>
                <w:kern w:val="0"/>
                <w:sz w:val="20"/>
                <w:szCs w:val="20"/>
              </w:rPr>
              <w:t>二星级</w:t>
            </w:r>
            <w:r>
              <w:rPr>
                <w:rFonts w:hint="eastAsia" w:ascii="宋体" w:hAnsi="宋体" w:eastAsia="宋体" w:cs="宋体"/>
                <w:kern w:val="0"/>
                <w:sz w:val="20"/>
                <w:szCs w:val="20"/>
              </w:rPr>
              <w:t>绿色建筑设计的要求</w:t>
            </w:r>
          </w:p>
        </w:tc>
        <w:tc>
          <w:tcPr>
            <w:tcW w:w="443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□土地开发</w:t>
            </w:r>
            <w:r>
              <w:rPr>
                <w:rFonts w:ascii="宋体" w:hAnsi="宋体" w:eastAsia="宋体" w:cs="宋体"/>
                <w:kern w:val="0"/>
                <w:sz w:val="20"/>
                <w:szCs w:val="20"/>
              </w:rPr>
              <w:t>利用</w:t>
            </w:r>
            <w:r>
              <w:rPr>
                <w:rFonts w:hint="eastAsia" w:ascii="宋体" w:hAnsi="宋体" w:eastAsia="宋体" w:cs="宋体"/>
                <w:kern w:val="0"/>
                <w:sz w:val="20"/>
                <w:szCs w:val="20"/>
              </w:rPr>
              <w:t>应符合《绿色建筑设计标准》的</w:t>
            </w:r>
            <w:r>
              <w:rPr>
                <w:rFonts w:ascii="宋体" w:hAnsi="宋体" w:eastAsia="宋体" w:cs="宋体"/>
                <w:kern w:val="0"/>
                <w:sz w:val="20"/>
                <w:szCs w:val="20"/>
              </w:rPr>
              <w:t>4.4.1</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□地下空间</w:t>
            </w:r>
            <w:r>
              <w:rPr>
                <w:rFonts w:ascii="宋体" w:hAnsi="宋体" w:eastAsia="宋体" w:cs="宋体"/>
                <w:kern w:val="0"/>
                <w:sz w:val="20"/>
                <w:szCs w:val="20"/>
              </w:rPr>
              <w:t>的</w:t>
            </w:r>
            <w:r>
              <w:rPr>
                <w:rFonts w:hint="eastAsia" w:ascii="宋体" w:hAnsi="宋体" w:eastAsia="宋体" w:cs="宋体"/>
                <w:kern w:val="0"/>
                <w:sz w:val="20"/>
                <w:szCs w:val="20"/>
              </w:rPr>
              <w:t>开发</w:t>
            </w:r>
            <w:r>
              <w:rPr>
                <w:rFonts w:ascii="宋体" w:hAnsi="宋体" w:eastAsia="宋体" w:cs="宋体"/>
                <w:kern w:val="0"/>
                <w:sz w:val="20"/>
                <w:szCs w:val="20"/>
              </w:rPr>
              <w:t>利用</w:t>
            </w:r>
            <w:r>
              <w:rPr>
                <w:rFonts w:hint="eastAsia" w:ascii="宋体" w:hAnsi="宋体" w:eastAsia="宋体" w:cs="宋体"/>
                <w:kern w:val="0"/>
                <w:sz w:val="20"/>
                <w:szCs w:val="20"/>
              </w:rPr>
              <w:t>需符合《绿色建筑设计标准》的</w:t>
            </w:r>
            <w:r>
              <w:rPr>
                <w:rFonts w:ascii="宋体" w:hAnsi="宋体" w:eastAsia="宋体" w:cs="宋体"/>
                <w:kern w:val="0"/>
                <w:sz w:val="20"/>
                <w:szCs w:val="20"/>
              </w:rPr>
              <w:t>4.4.2</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□场地的公共服务设施设计合理，符合《绿色建筑设计标准》的</w:t>
            </w:r>
            <w:r>
              <w:rPr>
                <w:rFonts w:ascii="宋体" w:hAnsi="宋体" w:eastAsia="宋体" w:cs="宋体"/>
                <w:kern w:val="0"/>
                <w:sz w:val="20"/>
                <w:szCs w:val="20"/>
              </w:rPr>
              <w:t>4.4.6</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□场地交通设计合理，符合《绿色建筑设计标准》</w:t>
            </w:r>
            <w:r>
              <w:rPr>
                <w:rFonts w:ascii="宋体" w:hAnsi="宋体" w:eastAsia="宋体" w:cs="宋体"/>
                <w:kern w:val="0"/>
                <w:sz w:val="20"/>
                <w:szCs w:val="20"/>
              </w:rPr>
              <w:t>4.4.4</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□场地内的机动车停车设施设计合理，符合《绿色建筑设计标准》的</w:t>
            </w:r>
            <w:r>
              <w:rPr>
                <w:rFonts w:ascii="宋体" w:hAnsi="宋体" w:eastAsia="宋体" w:cs="宋体"/>
                <w:kern w:val="0"/>
                <w:sz w:val="20"/>
                <w:szCs w:val="20"/>
              </w:rPr>
              <w:t>4.2.11、4.4.5条的要求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w:t>
            </w:r>
            <w:r>
              <w:rPr>
                <w:rFonts w:ascii="宋体" w:hAnsi="宋体" w:eastAsia="宋体" w:cs="宋体"/>
                <w:kern w:val="0"/>
                <w:sz w:val="20"/>
                <w:szCs w:val="20"/>
              </w:rPr>
              <w:t>内无障碍与安全</w:t>
            </w:r>
            <w:r>
              <w:rPr>
                <w:rFonts w:hint="eastAsia" w:ascii="宋体" w:hAnsi="宋体" w:eastAsia="宋体" w:cs="宋体"/>
                <w:kern w:val="0"/>
                <w:sz w:val="20"/>
                <w:szCs w:val="20"/>
              </w:rPr>
              <w:t>设计合理，符合《绿色建筑设计标准》的一星级、</w:t>
            </w:r>
            <w:r>
              <w:rPr>
                <w:rFonts w:ascii="宋体" w:hAnsi="宋体" w:eastAsia="宋体" w:cs="宋体"/>
                <w:kern w:val="0"/>
                <w:sz w:val="20"/>
                <w:szCs w:val="20"/>
              </w:rPr>
              <w:t>二星级</w:t>
            </w:r>
            <w:r>
              <w:rPr>
                <w:rFonts w:hint="eastAsia" w:ascii="宋体" w:hAnsi="宋体" w:eastAsia="宋体" w:cs="宋体"/>
                <w:kern w:val="0"/>
                <w:sz w:val="20"/>
                <w:szCs w:val="20"/>
              </w:rPr>
              <w:t>及三</w:t>
            </w:r>
            <w:r>
              <w:rPr>
                <w:rFonts w:ascii="宋体" w:hAnsi="宋体" w:eastAsia="宋体" w:cs="宋体"/>
                <w:kern w:val="0"/>
                <w:sz w:val="20"/>
                <w:szCs w:val="20"/>
              </w:rPr>
              <w:t>星级</w:t>
            </w:r>
            <w:r>
              <w:rPr>
                <w:rFonts w:hint="eastAsia" w:ascii="宋体" w:hAnsi="宋体" w:eastAsia="宋体" w:cs="宋体"/>
                <w:kern w:val="0"/>
                <w:sz w:val="20"/>
                <w:szCs w:val="20"/>
              </w:rPr>
              <w:t>绿色建筑设计的要求</w:t>
            </w:r>
          </w:p>
        </w:tc>
        <w:tc>
          <w:tcPr>
            <w:tcW w:w="1220" w:type="dxa"/>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vAlign w:val="center"/>
          </w:tcPr>
          <w:p>
            <w:pPr>
              <w:widowControl/>
              <w:jc w:val="center"/>
              <w:rPr>
                <w:rFonts w:ascii="宋体" w:hAnsi="宋体" w:eastAsia="宋体" w:cs="宋体"/>
                <w:b/>
                <w:bCs/>
                <w:kern w:val="0"/>
                <w:sz w:val="20"/>
                <w:szCs w:val="20"/>
              </w:rPr>
            </w:pPr>
          </w:p>
        </w:tc>
        <w:tc>
          <w:tcPr>
            <w:tcW w:w="919" w:type="dxa"/>
            <w:vMerge w:val="continue"/>
            <w:vAlign w:val="center"/>
          </w:tcPr>
          <w:p>
            <w:pPr>
              <w:widowControl/>
              <w:jc w:val="center"/>
              <w:rPr>
                <w:rFonts w:ascii="宋体" w:hAnsi="宋体" w:eastAsia="宋体" w:cs="宋体"/>
                <w:b/>
                <w:bCs/>
                <w:kern w:val="0"/>
                <w:sz w:val="20"/>
                <w:szCs w:val="20"/>
              </w:rPr>
            </w:pPr>
          </w:p>
        </w:tc>
        <w:tc>
          <w:tcPr>
            <w:tcW w:w="4867" w:type="dxa"/>
            <w:gridSpan w:val="2"/>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建筑平面、主要立面、主要剖面完整</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□建筑专业设计图纸应与说明中单体数量、功能相匹配</w:t>
            </w:r>
            <w:r>
              <w:rPr>
                <w:rFonts w:ascii="宋体" w:hAnsi="宋体" w:eastAsia="宋体" w:cs="宋体"/>
                <w:kern w:val="0"/>
                <w:sz w:val="20"/>
                <w:szCs w:val="20"/>
              </w:rPr>
              <w:br w:type="textWrapping"/>
            </w:r>
            <w:r>
              <w:rPr>
                <w:rFonts w:hint="eastAsia" w:ascii="宋体" w:hAnsi="宋体" w:eastAsia="宋体" w:cs="宋体"/>
                <w:kern w:val="0"/>
                <w:sz w:val="20"/>
                <w:szCs w:val="20"/>
              </w:rPr>
              <w:t>□建筑朝向合理；当建筑处于不利朝向时，建筑外窗应采取补偿措施</w:t>
            </w:r>
            <w:r>
              <w:rPr>
                <w:rFonts w:ascii="宋体" w:hAnsi="宋体" w:eastAsia="宋体" w:cs="宋体"/>
                <w:kern w:val="0"/>
                <w:sz w:val="20"/>
                <w:szCs w:val="20"/>
              </w:rPr>
              <w:br w:type="textWrapping"/>
            </w:r>
            <w:r>
              <w:rPr>
                <w:rFonts w:hint="eastAsia" w:ascii="宋体" w:hAnsi="宋体" w:eastAsia="宋体" w:cs="宋体"/>
                <w:kern w:val="0"/>
                <w:sz w:val="20"/>
                <w:szCs w:val="20"/>
              </w:rPr>
              <w:t>□建筑的公共空间设计合理，符合《绿色建筑设计标准》的一星级绿色建筑设计的要求</w:t>
            </w:r>
            <w:r>
              <w:rPr>
                <w:rFonts w:ascii="宋体" w:hAnsi="宋体" w:eastAsia="宋体" w:cs="宋体"/>
                <w:kern w:val="0"/>
                <w:sz w:val="20"/>
                <w:szCs w:val="20"/>
              </w:rPr>
              <w:br w:type="textWrapping"/>
            </w:r>
            <w:r>
              <w:rPr>
                <w:rFonts w:hint="eastAsia" w:ascii="宋体" w:hAnsi="宋体" w:eastAsia="宋体" w:cs="宋体"/>
                <w:kern w:val="0"/>
                <w:sz w:val="20"/>
                <w:szCs w:val="20"/>
              </w:rPr>
              <w:t>□屋顶绿化设置合理</w:t>
            </w:r>
            <w:r>
              <w:rPr>
                <w:rFonts w:ascii="宋体" w:hAnsi="宋体" w:eastAsia="宋体" w:cs="宋体"/>
                <w:kern w:val="0"/>
                <w:sz w:val="20"/>
                <w:szCs w:val="20"/>
              </w:rPr>
              <w:br w:type="textWrapping"/>
            </w:r>
            <w:r>
              <w:rPr>
                <w:rFonts w:hint="eastAsia" w:ascii="宋体" w:hAnsi="宋体" w:eastAsia="宋体" w:cs="宋体"/>
                <w:kern w:val="0"/>
                <w:sz w:val="20"/>
                <w:szCs w:val="20"/>
              </w:rPr>
              <w:t>□建筑造型要素是否简约，且无大量装饰性构件</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□建筑的公共服务设计合理，符合《绿色建筑设计标准》的</w:t>
            </w:r>
            <w:r>
              <w:rPr>
                <w:rFonts w:ascii="宋体" w:hAnsi="宋体" w:eastAsia="宋体" w:cs="宋体"/>
                <w:kern w:val="0"/>
                <w:sz w:val="20"/>
                <w:szCs w:val="20"/>
              </w:rPr>
              <w:t>5.2.7</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w:t>
            </w:r>
            <w:r>
              <w:rPr>
                <w:rFonts w:ascii="宋体" w:hAnsi="宋体" w:eastAsia="宋体" w:cs="宋体"/>
                <w:kern w:val="0"/>
                <w:sz w:val="20"/>
                <w:szCs w:val="20"/>
              </w:rPr>
              <w:t>能源设施与建筑</w:t>
            </w:r>
            <w:r>
              <w:rPr>
                <w:rFonts w:hint="eastAsia" w:ascii="宋体" w:hAnsi="宋体" w:eastAsia="宋体" w:cs="宋体"/>
                <w:kern w:val="0"/>
                <w:sz w:val="20"/>
                <w:szCs w:val="20"/>
              </w:rPr>
              <w:t>应</w:t>
            </w:r>
            <w:r>
              <w:rPr>
                <w:rFonts w:ascii="宋体" w:hAnsi="宋体" w:eastAsia="宋体" w:cs="宋体"/>
                <w:kern w:val="0"/>
                <w:sz w:val="20"/>
                <w:szCs w:val="20"/>
              </w:rPr>
              <w:t>一体化设计</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□空调室外机设置位置满足</w:t>
            </w:r>
            <w:bookmarkStart w:id="0" w:name="_Hlk97315710"/>
            <w:r>
              <w:rPr>
                <w:rFonts w:hint="eastAsia" w:ascii="宋体" w:hAnsi="宋体" w:eastAsia="宋体" w:cs="宋体"/>
                <w:kern w:val="0"/>
                <w:sz w:val="20"/>
                <w:szCs w:val="20"/>
              </w:rPr>
              <w:t>《绿色建筑设计标准》</w:t>
            </w:r>
            <w:bookmarkEnd w:id="0"/>
            <w:r>
              <w:rPr>
                <w:rFonts w:hint="eastAsia" w:ascii="宋体" w:hAnsi="宋体" w:eastAsia="宋体" w:cs="宋体"/>
                <w:kern w:val="0"/>
                <w:sz w:val="20"/>
                <w:szCs w:val="20"/>
              </w:rPr>
              <w:t>附录</w:t>
            </w:r>
            <w:r>
              <w:rPr>
                <w:rFonts w:ascii="宋体" w:hAnsi="宋体" w:eastAsia="宋体" w:cs="宋体"/>
                <w:kern w:val="0"/>
                <w:sz w:val="20"/>
                <w:szCs w:val="20"/>
              </w:rPr>
              <w:t>B的要求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□建筑光环境设计需符合《绿色建筑设计标准》的一星级绿色建筑设计的要求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□建筑风环境设计需符合《绿色建筑设计标准》的一星级绿色建筑设计的要求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□室内</w:t>
            </w:r>
            <w:r>
              <w:rPr>
                <w:rFonts w:ascii="宋体" w:hAnsi="宋体" w:eastAsia="宋体" w:cs="宋体"/>
                <w:bCs/>
                <w:kern w:val="0"/>
                <w:sz w:val="20"/>
                <w:szCs w:val="20"/>
              </w:rPr>
              <w:t>声</w:t>
            </w:r>
            <w:r>
              <w:rPr>
                <w:rFonts w:hint="eastAsia" w:ascii="宋体" w:hAnsi="宋体" w:eastAsia="宋体" w:cs="宋体"/>
                <w:bCs/>
                <w:kern w:val="0"/>
                <w:sz w:val="20"/>
                <w:szCs w:val="20"/>
              </w:rPr>
              <w:t>环境设计需符合《绿色建筑设计标准》的一星级绿色建筑设计的要求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□室内空气质量需符合《绿色建筑设计标准》的一星级绿色建筑设计的要求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□建筑无障碍设计应满足现行国家标准《无障碍设计规范》</w:t>
            </w:r>
            <w:r>
              <w:rPr>
                <w:rFonts w:ascii="宋体" w:hAnsi="宋体" w:eastAsia="宋体" w:cs="宋体"/>
                <w:bCs/>
                <w:kern w:val="0"/>
                <w:sz w:val="20"/>
                <w:szCs w:val="20"/>
              </w:rPr>
              <w:t>GB 50763、《建筑与市政工程无障碍通用规范》GB55019的规定</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□建筑室内应设置便于识别和使用的标识系统</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□安全性</w:t>
            </w:r>
            <w:r>
              <w:rPr>
                <w:rFonts w:ascii="宋体" w:hAnsi="宋体" w:eastAsia="宋体" w:cs="宋体"/>
                <w:bCs/>
                <w:kern w:val="0"/>
                <w:sz w:val="20"/>
                <w:szCs w:val="20"/>
              </w:rPr>
              <w:t>与耐久性</w:t>
            </w:r>
            <w:r>
              <w:rPr>
                <w:rFonts w:hint="eastAsia" w:ascii="宋体" w:hAnsi="宋体" w:eastAsia="宋体" w:cs="宋体"/>
                <w:bCs/>
                <w:kern w:val="0"/>
                <w:sz w:val="20"/>
                <w:szCs w:val="20"/>
              </w:rPr>
              <w:t>需符合《绿色建筑设计标准》的一星级绿色建筑设计的要求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□应进行建筑碳排放计算分析，采取措施降低单位建筑面积碳排放强度</w:t>
            </w:r>
          </w:p>
          <w:p>
            <w:pPr>
              <w:widowControl/>
              <w:jc w:val="left"/>
              <w:rPr>
                <w:rFonts w:ascii="宋体" w:hAnsi="宋体" w:eastAsia="宋体" w:cs="宋体"/>
                <w:kern w:val="0"/>
                <w:sz w:val="20"/>
                <w:szCs w:val="20"/>
              </w:rPr>
            </w:pP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□建筑专业设计图纸应与说明中单体数量、功能相匹配</w:t>
            </w:r>
            <w:r>
              <w:rPr>
                <w:rFonts w:ascii="宋体" w:hAnsi="宋体" w:eastAsia="宋体" w:cs="宋体"/>
                <w:kern w:val="0"/>
                <w:sz w:val="20"/>
                <w:szCs w:val="20"/>
              </w:rPr>
              <w:br w:type="textWrapping"/>
            </w:r>
            <w:r>
              <w:rPr>
                <w:rFonts w:hint="eastAsia" w:ascii="宋体" w:hAnsi="宋体" w:eastAsia="宋体" w:cs="宋体"/>
                <w:kern w:val="0"/>
                <w:sz w:val="20"/>
                <w:szCs w:val="20"/>
              </w:rPr>
              <w:t>□建筑朝向合理；当建筑处于不利朝向时，建筑外窗应采取补偿措施</w:t>
            </w:r>
            <w:r>
              <w:rPr>
                <w:rFonts w:ascii="宋体" w:hAnsi="宋体" w:eastAsia="宋体" w:cs="宋体"/>
                <w:kern w:val="0"/>
                <w:sz w:val="20"/>
                <w:szCs w:val="20"/>
              </w:rPr>
              <w:br w:type="textWrapping"/>
            </w:r>
            <w:r>
              <w:rPr>
                <w:rFonts w:hint="eastAsia" w:ascii="宋体" w:hAnsi="宋体" w:eastAsia="宋体" w:cs="宋体"/>
                <w:kern w:val="0"/>
                <w:sz w:val="20"/>
                <w:szCs w:val="20"/>
              </w:rPr>
              <w:t>□建筑的公共空间设计合理，符合《绿色建筑设计标准》的一星级及二星级绿色建筑设计的要求</w:t>
            </w:r>
            <w:r>
              <w:rPr>
                <w:rFonts w:ascii="宋体" w:hAnsi="宋体" w:eastAsia="宋体" w:cs="宋体"/>
                <w:kern w:val="0"/>
                <w:sz w:val="20"/>
                <w:szCs w:val="20"/>
              </w:rPr>
              <w:br w:type="textWrapping"/>
            </w:r>
            <w:r>
              <w:rPr>
                <w:rFonts w:hint="eastAsia" w:ascii="宋体" w:hAnsi="宋体" w:eastAsia="宋体" w:cs="宋体"/>
                <w:kern w:val="0"/>
                <w:sz w:val="20"/>
                <w:szCs w:val="20"/>
              </w:rPr>
              <w:t>□屋顶绿化设置合理</w:t>
            </w:r>
            <w:r>
              <w:rPr>
                <w:rFonts w:ascii="宋体" w:hAnsi="宋体" w:eastAsia="宋体" w:cs="宋体"/>
                <w:kern w:val="0"/>
                <w:sz w:val="20"/>
                <w:szCs w:val="20"/>
              </w:rPr>
              <w:br w:type="textWrapping"/>
            </w:r>
            <w:r>
              <w:rPr>
                <w:rFonts w:hint="eastAsia" w:ascii="宋体" w:hAnsi="宋体" w:eastAsia="宋体" w:cs="宋体"/>
                <w:kern w:val="0"/>
                <w:sz w:val="20"/>
                <w:szCs w:val="20"/>
              </w:rPr>
              <w:t>□建筑造型要素是否简约，且无大量装饰性构件</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□建筑的公共服务设计合理，符合《绿色建筑设计标准》的</w:t>
            </w:r>
            <w:r>
              <w:rPr>
                <w:rFonts w:ascii="宋体" w:hAnsi="宋体" w:eastAsia="宋体" w:cs="宋体"/>
                <w:kern w:val="0"/>
                <w:sz w:val="20"/>
                <w:szCs w:val="20"/>
              </w:rPr>
              <w:t>5.2.7</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w:t>
            </w:r>
            <w:r>
              <w:rPr>
                <w:rFonts w:ascii="宋体" w:hAnsi="宋体" w:eastAsia="宋体" w:cs="宋体"/>
                <w:kern w:val="0"/>
                <w:sz w:val="20"/>
                <w:szCs w:val="20"/>
              </w:rPr>
              <w:t>能源设施与建筑</w:t>
            </w:r>
            <w:r>
              <w:rPr>
                <w:rFonts w:hint="eastAsia" w:ascii="宋体" w:hAnsi="宋体" w:eastAsia="宋体" w:cs="宋体"/>
                <w:kern w:val="0"/>
                <w:sz w:val="20"/>
                <w:szCs w:val="20"/>
              </w:rPr>
              <w:t>应</w:t>
            </w:r>
            <w:r>
              <w:rPr>
                <w:rFonts w:ascii="宋体" w:hAnsi="宋体" w:eastAsia="宋体" w:cs="宋体"/>
                <w:kern w:val="0"/>
                <w:sz w:val="20"/>
                <w:szCs w:val="20"/>
              </w:rPr>
              <w:t>一体化设计</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□空调室外机设置位置满足《绿色建筑设计标准》附录</w:t>
            </w:r>
            <w:r>
              <w:rPr>
                <w:rFonts w:ascii="宋体" w:hAnsi="宋体" w:eastAsia="宋体" w:cs="宋体"/>
                <w:kern w:val="0"/>
                <w:sz w:val="20"/>
                <w:szCs w:val="20"/>
              </w:rPr>
              <w:t>B的要求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□建筑光环境设计需符合《绿色建筑设计标准》的一星级及</w:t>
            </w:r>
            <w:r>
              <w:rPr>
                <w:rFonts w:ascii="宋体" w:hAnsi="宋体" w:eastAsia="宋体" w:cs="宋体"/>
                <w:bCs/>
                <w:kern w:val="0"/>
                <w:sz w:val="20"/>
                <w:szCs w:val="20"/>
              </w:rPr>
              <w:t>二星级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□建筑风环境设计需符合《绿色建筑设计标准》的一星级及</w:t>
            </w:r>
            <w:r>
              <w:rPr>
                <w:rFonts w:ascii="宋体" w:hAnsi="宋体" w:eastAsia="宋体" w:cs="宋体"/>
                <w:bCs/>
                <w:kern w:val="0"/>
                <w:sz w:val="20"/>
                <w:szCs w:val="20"/>
              </w:rPr>
              <w:t>二星级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□室内</w:t>
            </w:r>
            <w:r>
              <w:rPr>
                <w:rFonts w:ascii="宋体" w:hAnsi="宋体" w:eastAsia="宋体" w:cs="宋体"/>
                <w:bCs/>
                <w:kern w:val="0"/>
                <w:sz w:val="20"/>
                <w:szCs w:val="20"/>
              </w:rPr>
              <w:t>声</w:t>
            </w:r>
            <w:r>
              <w:rPr>
                <w:rFonts w:hint="eastAsia" w:ascii="宋体" w:hAnsi="宋体" w:eastAsia="宋体" w:cs="宋体"/>
                <w:bCs/>
                <w:kern w:val="0"/>
                <w:sz w:val="20"/>
                <w:szCs w:val="20"/>
              </w:rPr>
              <w:t>环境设计需符合《绿色建筑设计标准》的一星级及</w:t>
            </w:r>
            <w:r>
              <w:rPr>
                <w:rFonts w:ascii="宋体" w:hAnsi="宋体" w:eastAsia="宋体" w:cs="宋体"/>
                <w:bCs/>
                <w:kern w:val="0"/>
                <w:sz w:val="20"/>
                <w:szCs w:val="20"/>
              </w:rPr>
              <w:t>二星级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□室内空气质量需符合《绿色建筑设计标准》的一星级及</w:t>
            </w:r>
            <w:r>
              <w:rPr>
                <w:rFonts w:ascii="宋体" w:hAnsi="宋体" w:eastAsia="宋体" w:cs="宋体"/>
                <w:bCs/>
                <w:kern w:val="0"/>
                <w:sz w:val="20"/>
                <w:szCs w:val="20"/>
              </w:rPr>
              <w:t>二星级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□建筑设计</w:t>
            </w:r>
            <w:r>
              <w:rPr>
                <w:rFonts w:ascii="宋体" w:hAnsi="宋体" w:eastAsia="宋体" w:cs="宋体"/>
                <w:bCs/>
                <w:kern w:val="0"/>
                <w:sz w:val="20"/>
                <w:szCs w:val="20"/>
              </w:rPr>
              <w:t>宜采用装配式建筑和装配化装修，满足</w:t>
            </w:r>
            <w:r>
              <w:rPr>
                <w:rFonts w:hint="eastAsia" w:ascii="宋体" w:hAnsi="宋体" w:eastAsia="宋体" w:cs="宋体"/>
                <w:bCs/>
                <w:kern w:val="0"/>
                <w:sz w:val="20"/>
                <w:szCs w:val="20"/>
              </w:rPr>
              <w:t>《绿色建筑设计标准》</w:t>
            </w:r>
            <w:r>
              <w:rPr>
                <w:rFonts w:ascii="宋体" w:hAnsi="宋体" w:eastAsia="宋体" w:cs="宋体"/>
                <w:bCs/>
                <w:kern w:val="0"/>
                <w:sz w:val="20"/>
                <w:szCs w:val="20"/>
              </w:rPr>
              <w:t>5.3.11条</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□建筑的</w:t>
            </w:r>
            <w:r>
              <w:rPr>
                <w:rFonts w:ascii="宋体" w:hAnsi="宋体" w:eastAsia="宋体" w:cs="宋体"/>
                <w:bCs/>
                <w:kern w:val="0"/>
                <w:sz w:val="20"/>
                <w:szCs w:val="20"/>
              </w:rPr>
              <w:t>公共部位应进行</w:t>
            </w:r>
            <w:r>
              <w:rPr>
                <w:rFonts w:hint="eastAsia" w:ascii="宋体" w:hAnsi="宋体" w:eastAsia="宋体" w:cs="宋体"/>
                <w:bCs/>
                <w:kern w:val="0"/>
                <w:sz w:val="20"/>
                <w:szCs w:val="20"/>
              </w:rPr>
              <w:t>土建</w:t>
            </w:r>
            <w:r>
              <w:rPr>
                <w:rFonts w:ascii="宋体" w:hAnsi="宋体" w:eastAsia="宋体" w:cs="宋体"/>
                <w:bCs/>
                <w:kern w:val="0"/>
                <w:sz w:val="20"/>
                <w:szCs w:val="20"/>
              </w:rPr>
              <w:t>与装修一体化设计</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□建筑无障碍设计应满足现行国家标准《无障碍设计规范》</w:t>
            </w:r>
            <w:r>
              <w:rPr>
                <w:rFonts w:ascii="宋体" w:hAnsi="宋体" w:eastAsia="宋体" w:cs="宋体"/>
                <w:bCs/>
                <w:kern w:val="0"/>
                <w:sz w:val="20"/>
                <w:szCs w:val="20"/>
              </w:rPr>
              <w:t>GB 50763、《建筑与市政工程无障碍通用规范》GB55019的规定</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□建筑室内应设置便于识别和使用的标识系统</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□安全性</w:t>
            </w:r>
            <w:r>
              <w:rPr>
                <w:rFonts w:ascii="宋体" w:hAnsi="宋体" w:eastAsia="宋体" w:cs="宋体"/>
                <w:bCs/>
                <w:kern w:val="0"/>
                <w:sz w:val="20"/>
                <w:szCs w:val="20"/>
              </w:rPr>
              <w:t>与耐久性</w:t>
            </w:r>
            <w:r>
              <w:rPr>
                <w:rFonts w:hint="eastAsia" w:ascii="宋体" w:hAnsi="宋体" w:eastAsia="宋体" w:cs="宋体"/>
                <w:bCs/>
                <w:kern w:val="0"/>
                <w:sz w:val="20"/>
                <w:szCs w:val="20"/>
              </w:rPr>
              <w:t>需符合《绿色建筑设计标准》的一星级及</w:t>
            </w:r>
            <w:r>
              <w:rPr>
                <w:rFonts w:ascii="宋体" w:hAnsi="宋体" w:eastAsia="宋体" w:cs="宋体"/>
                <w:bCs/>
                <w:kern w:val="0"/>
                <w:sz w:val="20"/>
                <w:szCs w:val="20"/>
              </w:rPr>
              <w:t>二星级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□应进行建筑碳排放计算分析，采取措施降低单位建筑面积碳排放强度</w:t>
            </w:r>
          </w:p>
          <w:p>
            <w:pPr>
              <w:widowControl/>
              <w:jc w:val="left"/>
              <w:rPr>
                <w:rFonts w:ascii="宋体" w:hAnsi="宋体" w:eastAsia="宋体" w:cs="宋体"/>
                <w:kern w:val="0"/>
                <w:sz w:val="20"/>
                <w:szCs w:val="20"/>
              </w:rPr>
            </w:pPr>
          </w:p>
        </w:tc>
        <w:tc>
          <w:tcPr>
            <w:tcW w:w="443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□建筑专业设计图纸应与说明中单体数量、功能相匹配</w:t>
            </w:r>
            <w:r>
              <w:rPr>
                <w:rFonts w:ascii="宋体" w:hAnsi="宋体" w:eastAsia="宋体" w:cs="宋体"/>
                <w:kern w:val="0"/>
                <w:sz w:val="20"/>
                <w:szCs w:val="20"/>
              </w:rPr>
              <w:br w:type="textWrapping"/>
            </w:r>
            <w:r>
              <w:rPr>
                <w:rFonts w:hint="eastAsia" w:ascii="宋体" w:hAnsi="宋体" w:eastAsia="宋体" w:cs="宋体"/>
                <w:kern w:val="0"/>
                <w:sz w:val="20"/>
                <w:szCs w:val="20"/>
              </w:rPr>
              <w:t>□建筑朝向合理；当建筑处于不利朝向时，建筑外窗应采取补偿措施</w:t>
            </w:r>
            <w:r>
              <w:rPr>
                <w:rFonts w:ascii="宋体" w:hAnsi="宋体" w:eastAsia="宋体" w:cs="宋体"/>
                <w:kern w:val="0"/>
                <w:sz w:val="20"/>
                <w:szCs w:val="20"/>
              </w:rPr>
              <w:br w:type="textWrapping"/>
            </w:r>
            <w:r>
              <w:rPr>
                <w:rFonts w:hint="eastAsia" w:ascii="宋体" w:hAnsi="宋体" w:eastAsia="宋体" w:cs="宋体"/>
                <w:kern w:val="0"/>
                <w:sz w:val="20"/>
                <w:szCs w:val="20"/>
              </w:rPr>
              <w:t>□建筑的公共空间设计合理，符合《绿色建筑设计标准》的一星级、二星级及三星级绿色建筑设计的要求</w:t>
            </w:r>
            <w:r>
              <w:rPr>
                <w:rFonts w:ascii="宋体" w:hAnsi="宋体" w:eastAsia="宋体" w:cs="宋体"/>
                <w:kern w:val="0"/>
                <w:sz w:val="20"/>
                <w:szCs w:val="20"/>
              </w:rPr>
              <w:br w:type="textWrapping"/>
            </w:r>
            <w:r>
              <w:rPr>
                <w:rFonts w:hint="eastAsia" w:ascii="宋体" w:hAnsi="宋体" w:eastAsia="宋体" w:cs="宋体"/>
                <w:kern w:val="0"/>
                <w:sz w:val="20"/>
                <w:szCs w:val="20"/>
              </w:rPr>
              <w:t>□屋顶绿化设置合理</w:t>
            </w:r>
            <w:r>
              <w:rPr>
                <w:rFonts w:ascii="宋体" w:hAnsi="宋体" w:eastAsia="宋体" w:cs="宋体"/>
                <w:kern w:val="0"/>
                <w:sz w:val="20"/>
                <w:szCs w:val="20"/>
              </w:rPr>
              <w:br w:type="textWrapping"/>
            </w:r>
            <w:r>
              <w:rPr>
                <w:rFonts w:hint="eastAsia" w:ascii="宋体" w:hAnsi="宋体" w:eastAsia="宋体" w:cs="宋体"/>
                <w:kern w:val="0"/>
                <w:sz w:val="20"/>
                <w:szCs w:val="20"/>
              </w:rPr>
              <w:t>□建筑造型要素是否简约，且无大量装饰性构件</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□建筑的公共服务设计合理，符合《绿色建筑设计标准》的</w:t>
            </w:r>
            <w:r>
              <w:rPr>
                <w:rFonts w:ascii="宋体" w:hAnsi="宋体" w:eastAsia="宋体" w:cs="宋体"/>
                <w:kern w:val="0"/>
                <w:sz w:val="20"/>
                <w:szCs w:val="20"/>
              </w:rPr>
              <w:t>5.2.7</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w:t>
            </w:r>
            <w:r>
              <w:rPr>
                <w:rFonts w:ascii="宋体" w:hAnsi="宋体" w:eastAsia="宋体" w:cs="宋体"/>
                <w:kern w:val="0"/>
                <w:sz w:val="20"/>
                <w:szCs w:val="20"/>
              </w:rPr>
              <w:t>能源设施与建筑</w:t>
            </w:r>
            <w:r>
              <w:rPr>
                <w:rFonts w:hint="eastAsia" w:ascii="宋体" w:hAnsi="宋体" w:eastAsia="宋体" w:cs="宋体"/>
                <w:kern w:val="0"/>
                <w:sz w:val="20"/>
                <w:szCs w:val="20"/>
              </w:rPr>
              <w:t>应</w:t>
            </w:r>
            <w:r>
              <w:rPr>
                <w:rFonts w:ascii="宋体" w:hAnsi="宋体" w:eastAsia="宋体" w:cs="宋体"/>
                <w:kern w:val="0"/>
                <w:sz w:val="20"/>
                <w:szCs w:val="20"/>
              </w:rPr>
              <w:t>一体化设计</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□空调室外机设置位置满足《绿色建筑设计标准》附录</w:t>
            </w:r>
            <w:r>
              <w:rPr>
                <w:rFonts w:ascii="宋体" w:hAnsi="宋体" w:eastAsia="宋体" w:cs="宋体"/>
                <w:kern w:val="0"/>
                <w:sz w:val="20"/>
                <w:szCs w:val="20"/>
              </w:rPr>
              <w:t>B的要求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□建筑光环境设计需符合《绿色建筑设计标准》的一星级、</w:t>
            </w:r>
            <w:r>
              <w:rPr>
                <w:rFonts w:ascii="宋体" w:hAnsi="宋体" w:eastAsia="宋体" w:cs="宋体"/>
                <w:bCs/>
                <w:kern w:val="0"/>
                <w:sz w:val="20"/>
                <w:szCs w:val="20"/>
              </w:rPr>
              <w:t>二星级</w:t>
            </w:r>
            <w:r>
              <w:rPr>
                <w:rFonts w:hint="eastAsia" w:ascii="宋体" w:hAnsi="宋体" w:eastAsia="宋体" w:cs="宋体"/>
                <w:bCs/>
                <w:kern w:val="0"/>
                <w:sz w:val="20"/>
                <w:szCs w:val="20"/>
              </w:rPr>
              <w:t>及三</w:t>
            </w:r>
            <w:r>
              <w:rPr>
                <w:rFonts w:ascii="宋体" w:hAnsi="宋体" w:eastAsia="宋体" w:cs="宋体"/>
                <w:bCs/>
                <w:kern w:val="0"/>
                <w:sz w:val="20"/>
                <w:szCs w:val="20"/>
              </w:rPr>
              <w:t>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□建筑风环境设计需符合《绿色建筑设计标准》的一星级、</w:t>
            </w:r>
            <w:r>
              <w:rPr>
                <w:rFonts w:ascii="宋体" w:hAnsi="宋体" w:eastAsia="宋体" w:cs="宋体"/>
                <w:bCs/>
                <w:kern w:val="0"/>
                <w:sz w:val="20"/>
                <w:szCs w:val="20"/>
              </w:rPr>
              <w:t>二星级</w:t>
            </w:r>
            <w:r>
              <w:rPr>
                <w:rFonts w:hint="eastAsia" w:ascii="宋体" w:hAnsi="宋体" w:eastAsia="宋体" w:cs="宋体"/>
                <w:bCs/>
                <w:kern w:val="0"/>
                <w:sz w:val="20"/>
                <w:szCs w:val="20"/>
              </w:rPr>
              <w:t>及三</w:t>
            </w:r>
            <w:r>
              <w:rPr>
                <w:rFonts w:ascii="宋体" w:hAnsi="宋体" w:eastAsia="宋体" w:cs="宋体"/>
                <w:bCs/>
                <w:kern w:val="0"/>
                <w:sz w:val="20"/>
                <w:szCs w:val="20"/>
              </w:rPr>
              <w:t>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□室内</w:t>
            </w:r>
            <w:r>
              <w:rPr>
                <w:rFonts w:ascii="宋体" w:hAnsi="宋体" w:eastAsia="宋体" w:cs="宋体"/>
                <w:bCs/>
                <w:kern w:val="0"/>
                <w:sz w:val="20"/>
                <w:szCs w:val="20"/>
              </w:rPr>
              <w:t>声</w:t>
            </w:r>
            <w:r>
              <w:rPr>
                <w:rFonts w:hint="eastAsia" w:ascii="宋体" w:hAnsi="宋体" w:eastAsia="宋体" w:cs="宋体"/>
                <w:bCs/>
                <w:kern w:val="0"/>
                <w:sz w:val="20"/>
                <w:szCs w:val="20"/>
              </w:rPr>
              <w:t>环境设计需符合《绿色建筑设计标准》的一星级、</w:t>
            </w:r>
            <w:r>
              <w:rPr>
                <w:rFonts w:ascii="宋体" w:hAnsi="宋体" w:eastAsia="宋体" w:cs="宋体"/>
                <w:bCs/>
                <w:kern w:val="0"/>
                <w:sz w:val="20"/>
                <w:szCs w:val="20"/>
              </w:rPr>
              <w:t>二星级</w:t>
            </w:r>
            <w:r>
              <w:rPr>
                <w:rFonts w:hint="eastAsia" w:ascii="宋体" w:hAnsi="宋体" w:eastAsia="宋体" w:cs="宋体"/>
                <w:bCs/>
                <w:kern w:val="0"/>
                <w:sz w:val="20"/>
                <w:szCs w:val="20"/>
              </w:rPr>
              <w:t>及三</w:t>
            </w:r>
            <w:r>
              <w:rPr>
                <w:rFonts w:ascii="宋体" w:hAnsi="宋体" w:eastAsia="宋体" w:cs="宋体"/>
                <w:bCs/>
                <w:kern w:val="0"/>
                <w:sz w:val="20"/>
                <w:szCs w:val="20"/>
              </w:rPr>
              <w:t>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□室内空气质量需符合《绿色建筑设计标准》的一星级、</w:t>
            </w:r>
            <w:r>
              <w:rPr>
                <w:rFonts w:ascii="宋体" w:hAnsi="宋体" w:eastAsia="宋体" w:cs="宋体"/>
                <w:bCs/>
                <w:kern w:val="0"/>
                <w:sz w:val="20"/>
                <w:szCs w:val="20"/>
              </w:rPr>
              <w:t>二星级</w:t>
            </w:r>
            <w:r>
              <w:rPr>
                <w:rFonts w:hint="eastAsia" w:ascii="宋体" w:hAnsi="宋体" w:eastAsia="宋体" w:cs="宋体"/>
                <w:bCs/>
                <w:kern w:val="0"/>
                <w:sz w:val="20"/>
                <w:szCs w:val="20"/>
              </w:rPr>
              <w:t>及三</w:t>
            </w:r>
            <w:r>
              <w:rPr>
                <w:rFonts w:ascii="宋体" w:hAnsi="宋体" w:eastAsia="宋体" w:cs="宋体"/>
                <w:bCs/>
                <w:kern w:val="0"/>
                <w:sz w:val="20"/>
                <w:szCs w:val="20"/>
              </w:rPr>
              <w:t>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□建筑设计应采用装配式建筑和装配化装修，</w:t>
            </w:r>
            <w:r>
              <w:rPr>
                <w:rFonts w:ascii="宋体" w:hAnsi="宋体" w:eastAsia="宋体" w:cs="宋体"/>
                <w:bCs/>
                <w:kern w:val="0"/>
                <w:sz w:val="20"/>
                <w:szCs w:val="20"/>
              </w:rPr>
              <w:t>满足</w:t>
            </w:r>
            <w:r>
              <w:rPr>
                <w:rFonts w:hint="eastAsia" w:ascii="宋体" w:hAnsi="宋体" w:eastAsia="宋体" w:cs="宋体"/>
                <w:bCs/>
                <w:kern w:val="0"/>
                <w:sz w:val="20"/>
                <w:szCs w:val="20"/>
              </w:rPr>
              <w:t>《绿色建筑设计标准》</w:t>
            </w:r>
            <w:r>
              <w:rPr>
                <w:rFonts w:ascii="宋体" w:hAnsi="宋体" w:eastAsia="宋体" w:cs="宋体"/>
                <w:bCs/>
                <w:kern w:val="0"/>
                <w:sz w:val="20"/>
                <w:szCs w:val="20"/>
              </w:rPr>
              <w:t>5.4.17</w:t>
            </w:r>
            <w:r>
              <w:rPr>
                <w:rFonts w:hint="eastAsia" w:ascii="宋体" w:hAnsi="宋体" w:eastAsia="宋体" w:cs="宋体"/>
                <w:bCs/>
                <w:kern w:val="0"/>
                <w:sz w:val="20"/>
                <w:szCs w:val="20"/>
              </w:rPr>
              <w:t>条</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□建筑的所有</w:t>
            </w:r>
            <w:r>
              <w:rPr>
                <w:rFonts w:ascii="宋体" w:hAnsi="宋体" w:eastAsia="宋体" w:cs="宋体"/>
                <w:bCs/>
                <w:kern w:val="0"/>
                <w:sz w:val="20"/>
                <w:szCs w:val="20"/>
              </w:rPr>
              <w:t>部位应进行</w:t>
            </w:r>
            <w:r>
              <w:rPr>
                <w:rFonts w:hint="eastAsia" w:ascii="宋体" w:hAnsi="宋体" w:eastAsia="宋体" w:cs="宋体"/>
                <w:bCs/>
                <w:kern w:val="0"/>
                <w:sz w:val="20"/>
                <w:szCs w:val="20"/>
              </w:rPr>
              <w:t>土建</w:t>
            </w:r>
            <w:r>
              <w:rPr>
                <w:rFonts w:ascii="宋体" w:hAnsi="宋体" w:eastAsia="宋体" w:cs="宋体"/>
                <w:bCs/>
                <w:kern w:val="0"/>
                <w:sz w:val="20"/>
                <w:szCs w:val="20"/>
              </w:rPr>
              <w:t>与装修一体化设计</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□建筑无障碍设计应满足现行国家标准《无障碍设计规范》</w:t>
            </w:r>
            <w:r>
              <w:rPr>
                <w:rFonts w:ascii="宋体" w:hAnsi="宋体" w:eastAsia="宋体" w:cs="宋体"/>
                <w:bCs/>
                <w:kern w:val="0"/>
                <w:sz w:val="20"/>
                <w:szCs w:val="20"/>
              </w:rPr>
              <w:t>GB 50763、《建筑与市政工程无障碍通用规范》GB55019的规定</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□建筑室内应设置便于识别和使用的标识系统</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□安全性</w:t>
            </w:r>
            <w:r>
              <w:rPr>
                <w:rFonts w:ascii="宋体" w:hAnsi="宋体" w:eastAsia="宋体" w:cs="宋体"/>
                <w:bCs/>
                <w:kern w:val="0"/>
                <w:sz w:val="20"/>
                <w:szCs w:val="20"/>
              </w:rPr>
              <w:t>与耐久性</w:t>
            </w:r>
            <w:r>
              <w:rPr>
                <w:rFonts w:hint="eastAsia" w:ascii="宋体" w:hAnsi="宋体" w:eastAsia="宋体" w:cs="宋体"/>
                <w:bCs/>
                <w:kern w:val="0"/>
                <w:sz w:val="20"/>
                <w:szCs w:val="20"/>
              </w:rPr>
              <w:t>需符合《绿色建筑设计标准》的一星级、</w:t>
            </w:r>
            <w:r>
              <w:rPr>
                <w:rFonts w:ascii="宋体" w:hAnsi="宋体" w:eastAsia="宋体" w:cs="宋体"/>
                <w:bCs/>
                <w:kern w:val="0"/>
                <w:sz w:val="20"/>
                <w:szCs w:val="20"/>
              </w:rPr>
              <w:t>二星级</w:t>
            </w:r>
            <w:r>
              <w:rPr>
                <w:rFonts w:hint="eastAsia" w:ascii="宋体" w:hAnsi="宋体" w:eastAsia="宋体" w:cs="宋体"/>
                <w:bCs/>
                <w:kern w:val="0"/>
                <w:sz w:val="20"/>
                <w:szCs w:val="20"/>
              </w:rPr>
              <w:t>及三</w:t>
            </w:r>
            <w:r>
              <w:rPr>
                <w:rFonts w:ascii="宋体" w:hAnsi="宋体" w:eastAsia="宋体" w:cs="宋体"/>
                <w:bCs/>
                <w:kern w:val="0"/>
                <w:sz w:val="20"/>
                <w:szCs w:val="20"/>
              </w:rPr>
              <w:t>星级</w:t>
            </w:r>
            <w:r>
              <w:rPr>
                <w:rFonts w:hint="eastAsia" w:ascii="宋体" w:hAnsi="宋体" w:eastAsia="宋体" w:cs="宋体"/>
                <w:bCs/>
                <w:kern w:val="0"/>
                <w:sz w:val="20"/>
                <w:szCs w:val="20"/>
              </w:rPr>
              <w:t>绿色建筑设计的要求</w:t>
            </w:r>
          </w:p>
          <w:p>
            <w:pPr>
              <w:widowControl/>
              <w:jc w:val="left"/>
              <w:rPr>
                <w:rFonts w:ascii="宋体" w:hAnsi="宋体" w:eastAsia="宋体" w:cs="宋体"/>
                <w:kern w:val="0"/>
                <w:sz w:val="20"/>
                <w:szCs w:val="20"/>
              </w:rPr>
            </w:pPr>
            <w:r>
              <w:rPr>
                <w:rFonts w:hint="eastAsia" w:ascii="宋体" w:hAnsi="宋体" w:eastAsia="宋体" w:cs="宋体"/>
                <w:bCs/>
                <w:kern w:val="0"/>
                <w:sz w:val="20"/>
                <w:szCs w:val="20"/>
              </w:rPr>
              <w:t>□应进行建筑碳排放计算分析，采取措施降低单位建筑面积碳排放强度</w:t>
            </w:r>
          </w:p>
        </w:tc>
        <w:tc>
          <w:tcPr>
            <w:tcW w:w="1220" w:type="dxa"/>
            <w:shd w:val="clear" w:color="auto" w:fill="auto"/>
            <w:noWrap/>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重点节能部位应提供节点详图示意</w:t>
            </w:r>
          </w:p>
        </w:tc>
        <w:tc>
          <w:tcPr>
            <w:tcW w:w="13506"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□节点示意合理，符合节能计算模型要求</w:t>
            </w:r>
          </w:p>
        </w:tc>
        <w:tc>
          <w:tcPr>
            <w:tcW w:w="1220" w:type="dxa"/>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节能计算</w:t>
            </w: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各幢建筑节能计算模型及计算书、围护结构节能设计表完整。对外形复杂（如外廊连通的学校、住宅）应提供建筑外围护结构的保温轮廓线。</w:t>
            </w:r>
          </w:p>
        </w:tc>
        <w:tc>
          <w:tcPr>
            <w:tcW w:w="13506"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□围护结构的节能设计与计算满足节能标准规定性指标；若不满足规定性指标，则性能性指标权衡计算结果满足要求。</w:t>
            </w:r>
            <w:r>
              <w:rPr>
                <w:rFonts w:ascii="宋体" w:hAnsi="宋体" w:eastAsia="宋体" w:cs="宋体"/>
                <w:kern w:val="0"/>
                <w:sz w:val="20"/>
                <w:szCs w:val="20"/>
              </w:rPr>
              <w:br w:type="textWrapping"/>
            </w:r>
            <w:r>
              <w:rPr>
                <w:rFonts w:hint="eastAsia" w:ascii="宋体" w:hAnsi="宋体" w:eastAsia="宋体" w:cs="宋体"/>
                <w:kern w:val="0"/>
                <w:sz w:val="20"/>
                <w:szCs w:val="20"/>
              </w:rPr>
              <w:t>□节能计算书中的构造做法与绿色、节能专篇中的相关内容一致</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仅针对初步设计阶段或方案初设合一时需要</w:t>
            </w: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26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948"/>
        <w:gridCol w:w="4536"/>
        <w:gridCol w:w="4536"/>
        <w:gridCol w:w="4434"/>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867"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3506"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867"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434"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结构</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工程概况及设计依据性条件</w:t>
            </w: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工程所在地</w:t>
            </w:r>
          </w:p>
        </w:tc>
        <w:tc>
          <w:tcPr>
            <w:tcW w:w="13506" w:type="dxa"/>
            <w:gridSpan w:val="3"/>
            <w:vMerge w:val="restart"/>
            <w:shd w:val="clear" w:color="auto" w:fill="auto"/>
            <w:vAlign w:val="center"/>
          </w:tcPr>
          <w:p>
            <w:pPr>
              <w:pStyle w:val="40"/>
              <w:spacing w:line="314" w:lineRule="exact"/>
              <w:ind w:firstLine="0" w:firstLineChars="0"/>
              <w:rPr>
                <w:rFonts w:ascii="宋体" w:hAnsi="宋体" w:eastAsia="宋体" w:cs="宋体"/>
                <w:kern w:val="0"/>
                <w:sz w:val="20"/>
                <w:szCs w:val="20"/>
              </w:rPr>
            </w:pPr>
            <w:r>
              <w:rPr>
                <w:rFonts w:hint="eastAsia" w:ascii="宋体" w:hAnsi="宋体" w:eastAsia="宋体" w:cs="宋体"/>
                <w:kern w:val="0"/>
                <w:sz w:val="20"/>
                <w:szCs w:val="20"/>
              </w:rPr>
              <w:t>□内容完整，可作为确定结构分类等级的依据；</w:t>
            </w:r>
          </w:p>
          <w:p>
            <w:pPr>
              <w:pStyle w:val="40"/>
              <w:spacing w:line="314" w:lineRule="exact"/>
              <w:ind w:firstLine="0" w:firstLineChars="0"/>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若有多个子项，</w:t>
            </w:r>
            <w:r>
              <w:rPr>
                <w:rFonts w:hint="eastAsia" w:ascii="宋体" w:hAnsi="宋体" w:eastAsia="宋体" w:cs="宋体"/>
                <w:kern w:val="0"/>
                <w:sz w:val="20"/>
                <w:szCs w:val="20"/>
              </w:rPr>
              <w:t>且差别较大时，</w:t>
            </w:r>
            <w:r>
              <w:rPr>
                <w:rFonts w:ascii="宋体" w:hAnsi="宋体" w:eastAsia="宋体" w:cs="宋体"/>
                <w:kern w:val="0"/>
                <w:sz w:val="20"/>
                <w:szCs w:val="20"/>
              </w:rPr>
              <w:t>应分别说明</w:t>
            </w:r>
            <w:r>
              <w:rPr>
                <w:rFonts w:hint="eastAsia" w:ascii="宋体" w:hAnsi="宋体" w:eastAsia="宋体" w:cs="宋体"/>
                <w:kern w:val="0"/>
                <w:sz w:val="20"/>
                <w:szCs w:val="20"/>
              </w:rPr>
              <w:t>；</w:t>
            </w:r>
          </w:p>
          <w:p>
            <w:pPr>
              <w:pStyle w:val="40"/>
              <w:spacing w:line="314" w:lineRule="exact"/>
              <w:ind w:firstLine="0" w:firstLineChars="0"/>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工程地质和水文地质概况，应包括各主要土层名称、场地地震效应、地基均匀性和稳定性评价；地基液化判别，地基土冻胀性和融陷情况，湿陷性黄土地基湿陷等级和类型，膨胀土地基的膨缩等级，特殊地质条件（如溶洞）等说明；场地地下水</w:t>
            </w:r>
            <w:r>
              <w:rPr>
                <w:rFonts w:hint="eastAsia" w:ascii="宋体" w:hAnsi="宋体" w:eastAsia="宋体" w:cs="宋体"/>
                <w:kern w:val="0"/>
                <w:sz w:val="20"/>
                <w:szCs w:val="20"/>
              </w:rPr>
              <w:t>类型及水土</w:t>
            </w:r>
            <w:r>
              <w:rPr>
                <w:rFonts w:ascii="宋体" w:hAnsi="宋体" w:eastAsia="宋体" w:cs="宋体"/>
                <w:kern w:val="0"/>
                <w:sz w:val="20"/>
                <w:szCs w:val="20"/>
              </w:rPr>
              <w:t>腐蚀性</w:t>
            </w:r>
            <w:r>
              <w:rPr>
                <w:rFonts w:hint="eastAsia" w:ascii="宋体" w:hAnsi="宋体" w:eastAsia="宋体" w:cs="宋体"/>
                <w:kern w:val="0"/>
                <w:sz w:val="20"/>
                <w:szCs w:val="20"/>
              </w:rPr>
              <w:t>等级</w:t>
            </w:r>
            <w:r>
              <w:rPr>
                <w:rFonts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□依据的</w:t>
            </w:r>
            <w:r>
              <w:rPr>
                <w:rFonts w:ascii="宋体" w:hAnsi="宋体" w:eastAsia="宋体" w:cs="宋体"/>
                <w:kern w:val="0"/>
                <w:sz w:val="20"/>
                <w:szCs w:val="20"/>
              </w:rPr>
              <w:t>工程地质勘察报告或可靠的地质参考资料</w:t>
            </w:r>
            <w:r>
              <w:rPr>
                <w:rFonts w:hint="eastAsia" w:ascii="宋体" w:hAnsi="宋体" w:eastAsia="宋体" w:cs="宋体"/>
                <w:kern w:val="0"/>
                <w:sz w:val="20"/>
                <w:szCs w:val="20"/>
              </w:rPr>
              <w:t>，能满足初步设计深度要求。</w:t>
            </w:r>
          </w:p>
        </w:tc>
        <w:tc>
          <w:tcPr>
            <w:tcW w:w="1220" w:type="dxa"/>
            <w:vMerge w:val="restart"/>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建筑主要功能</w:t>
            </w:r>
          </w:p>
        </w:tc>
        <w:tc>
          <w:tcPr>
            <w:tcW w:w="13506" w:type="dxa"/>
            <w:gridSpan w:val="3"/>
            <w:vMerge w:val="continue"/>
            <w:shd w:val="clear" w:color="auto" w:fill="auto"/>
            <w:vAlign w:val="center"/>
          </w:tcPr>
          <w:p>
            <w:pPr>
              <w:pStyle w:val="40"/>
              <w:spacing w:line="314" w:lineRule="exact"/>
              <w:ind w:firstLine="400"/>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房屋高度</w:t>
            </w:r>
          </w:p>
        </w:tc>
        <w:tc>
          <w:tcPr>
            <w:tcW w:w="13506" w:type="dxa"/>
            <w:gridSpan w:val="3"/>
            <w:vMerge w:val="continue"/>
            <w:shd w:val="clear" w:color="auto" w:fill="auto"/>
            <w:vAlign w:val="center"/>
          </w:tcPr>
          <w:p>
            <w:pPr>
              <w:pStyle w:val="40"/>
              <w:spacing w:line="314" w:lineRule="exact"/>
              <w:ind w:firstLine="400"/>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地上和地下层数</w:t>
            </w:r>
          </w:p>
        </w:tc>
        <w:tc>
          <w:tcPr>
            <w:tcW w:w="13506" w:type="dxa"/>
            <w:gridSpan w:val="3"/>
            <w:vMerge w:val="continue"/>
            <w:shd w:val="clear" w:color="auto" w:fill="auto"/>
            <w:vAlign w:val="center"/>
          </w:tcPr>
          <w:p>
            <w:pPr>
              <w:pStyle w:val="40"/>
              <w:spacing w:line="314" w:lineRule="exact"/>
              <w:ind w:firstLine="400"/>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结构类型</w:t>
            </w:r>
          </w:p>
        </w:tc>
        <w:tc>
          <w:tcPr>
            <w:tcW w:w="13506" w:type="dxa"/>
            <w:gridSpan w:val="3"/>
            <w:vMerge w:val="continue"/>
            <w:shd w:val="clear" w:color="auto" w:fill="auto"/>
            <w:vAlign w:val="center"/>
          </w:tcPr>
          <w:p>
            <w:pPr>
              <w:pStyle w:val="40"/>
              <w:spacing w:line="314" w:lineRule="exact"/>
              <w:ind w:firstLine="400"/>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工程地质和水文地质概况</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建设场地适应性评价</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结构分类等级</w:t>
            </w: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结构设计工作年限</w:t>
            </w:r>
          </w:p>
        </w:tc>
        <w:tc>
          <w:tcPr>
            <w:tcW w:w="13506" w:type="dxa"/>
            <w:gridSpan w:val="3"/>
            <w:vMerge w:val="restart"/>
            <w:shd w:val="clear" w:color="auto" w:fill="auto"/>
            <w:vAlign w:val="center"/>
          </w:tcPr>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□结构分类等级应完整、合理，并符合项目特性及相关标准要求。</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结构安全等级</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地基基础设计等级</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桩基设计等级</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抗震设防类别</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抗震等级</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地下室防水等级</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人防地下室抗力级别</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混凝土构件的环境类别</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地下室</w:t>
            </w:r>
            <w:r>
              <w:rPr>
                <w:rFonts w:ascii="宋体" w:hAnsi="宋体" w:eastAsia="宋体" w:cs="宋体"/>
                <w:kern w:val="0"/>
                <w:sz w:val="20"/>
                <w:szCs w:val="20"/>
              </w:rPr>
              <w:t>抗浮设计等级</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主要荷载（作用）</w:t>
            </w: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恒荷载</w:t>
            </w:r>
          </w:p>
        </w:tc>
        <w:tc>
          <w:tcPr>
            <w:tcW w:w="13506" w:type="dxa"/>
            <w:gridSpan w:val="3"/>
            <w:vMerge w:val="restart"/>
            <w:shd w:val="clear" w:color="auto" w:fill="auto"/>
            <w:vAlign w:val="center"/>
          </w:tcPr>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□应在初步设计文件中列出主要房间荷载，其取值应满足建筑功能和相应标准要求；</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□恒荷载主要包括墙体自重、覆土容重及厚度、特殊设备自重和运行重量；</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风荷载包括</w:t>
            </w:r>
            <w:r>
              <w:rPr>
                <w:rFonts w:hint="eastAsia" w:ascii="宋体" w:hAnsi="宋体" w:eastAsia="宋体" w:cs="宋体"/>
                <w:kern w:val="0"/>
                <w:sz w:val="20"/>
                <w:szCs w:val="20"/>
              </w:rPr>
              <w:t>基本风压和</w:t>
            </w:r>
            <w:r>
              <w:rPr>
                <w:rFonts w:ascii="宋体" w:hAnsi="宋体" w:eastAsia="宋体" w:cs="宋体"/>
                <w:kern w:val="0"/>
                <w:sz w:val="20"/>
                <w:szCs w:val="20"/>
              </w:rPr>
              <w:t>地面粗糙度，需要时应补充其体型系数和风振系数等；</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□雪</w:t>
            </w:r>
            <w:r>
              <w:rPr>
                <w:rFonts w:ascii="宋体" w:hAnsi="宋体" w:eastAsia="宋体" w:cs="宋体"/>
                <w:kern w:val="0"/>
                <w:sz w:val="20"/>
                <w:szCs w:val="20"/>
              </w:rPr>
              <w:t>荷载包括</w:t>
            </w:r>
            <w:r>
              <w:rPr>
                <w:rFonts w:hint="eastAsia" w:ascii="宋体" w:hAnsi="宋体" w:eastAsia="宋体" w:cs="宋体"/>
                <w:kern w:val="0"/>
                <w:sz w:val="20"/>
                <w:szCs w:val="20"/>
              </w:rPr>
              <w:t>基本雪压和屋面积雪分布系数等</w:t>
            </w:r>
            <w:r>
              <w:rPr>
                <w:rFonts w:ascii="宋体" w:hAnsi="宋体" w:eastAsia="宋体" w:cs="宋体"/>
                <w:kern w:val="0"/>
                <w:sz w:val="20"/>
                <w:szCs w:val="20"/>
              </w:rPr>
              <w:t>；</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地震作用包括抗震设防烈度、设计基本地震加速度、设计地震分组、场地类别、场地特征周期、结构阻尼比、水平地震影响系数最大值等；</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□列出主要区域（部位）人防等效静荷载标准值，如顶板、底板、外墙、人防隔墙、人防出入口、楼梯等；</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□其他</w:t>
            </w:r>
            <w:r>
              <w:rPr>
                <w:rFonts w:ascii="宋体" w:hAnsi="宋体" w:eastAsia="宋体" w:cs="宋体"/>
                <w:kern w:val="0"/>
                <w:sz w:val="20"/>
                <w:szCs w:val="20"/>
              </w:rPr>
              <w:t>荷载（作用）</w:t>
            </w:r>
            <w:r>
              <w:rPr>
                <w:rFonts w:hint="eastAsia" w:ascii="宋体" w:hAnsi="宋体" w:eastAsia="宋体" w:cs="宋体"/>
                <w:kern w:val="0"/>
                <w:sz w:val="20"/>
                <w:szCs w:val="20"/>
              </w:rPr>
              <w:t>主要指工程需考虑的其他荷载或作用，如温度作用、规范没列入的楼（屋）面活荷载，需要时应补充</w:t>
            </w:r>
            <w:r>
              <w:rPr>
                <w:rFonts w:ascii="宋体" w:hAnsi="宋体" w:eastAsia="宋体" w:cs="宋体"/>
                <w:kern w:val="0"/>
                <w:sz w:val="20"/>
                <w:szCs w:val="20"/>
              </w:rPr>
              <w:t>工况组合</w:t>
            </w:r>
            <w:r>
              <w:rPr>
                <w:rFonts w:hint="eastAsia" w:ascii="宋体" w:hAnsi="宋体" w:eastAsia="宋体" w:cs="宋体"/>
                <w:kern w:val="0"/>
                <w:sz w:val="20"/>
                <w:szCs w:val="20"/>
              </w:rPr>
              <w:t>、</w:t>
            </w:r>
            <w:r>
              <w:rPr>
                <w:rFonts w:ascii="宋体" w:hAnsi="宋体" w:eastAsia="宋体" w:cs="宋体"/>
                <w:kern w:val="0"/>
                <w:sz w:val="20"/>
                <w:szCs w:val="20"/>
              </w:rPr>
              <w:t>分项系数及组合系数</w:t>
            </w:r>
            <w:r>
              <w:rPr>
                <w:rFonts w:hint="eastAsia" w:ascii="宋体" w:hAnsi="宋体" w:eastAsia="宋体" w:cs="宋体"/>
                <w:kern w:val="0"/>
                <w:sz w:val="20"/>
                <w:szCs w:val="20"/>
              </w:rPr>
              <w:t>等</w:t>
            </w:r>
            <w:r>
              <w:rPr>
                <w:rFonts w:ascii="宋体" w:hAnsi="宋体" w:eastAsia="宋体" w:cs="宋体"/>
                <w:kern w:val="0"/>
                <w:sz w:val="20"/>
                <w:szCs w:val="20"/>
              </w:rPr>
              <w:t>。</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楼（屋）面活荷载</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风荷载</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雪荷载</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地震作用</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人防等效静荷载标准值</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地下室抗浮设计水位</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w:t>
            </w:r>
            <w:r>
              <w:rPr>
                <w:rFonts w:ascii="宋体" w:hAnsi="宋体" w:eastAsia="宋体" w:cs="宋体"/>
                <w:kern w:val="0"/>
                <w:sz w:val="20"/>
                <w:szCs w:val="20"/>
              </w:rPr>
              <w:t>荷载</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结构分析</w:t>
            </w: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结构分析编制单位、软件名称、版本号</w:t>
            </w:r>
          </w:p>
        </w:tc>
        <w:tc>
          <w:tcPr>
            <w:tcW w:w="13506"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□结构分析软件有效；</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□结构分析模型的建立、必要的简化计算与处理，应符合结构实际工作状况；</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列出主要控制性计算结果，</w:t>
            </w:r>
            <w:r>
              <w:rPr>
                <w:rFonts w:hint="eastAsia" w:ascii="宋体" w:hAnsi="宋体" w:eastAsia="宋体" w:cs="宋体"/>
                <w:kern w:val="0"/>
                <w:sz w:val="20"/>
                <w:szCs w:val="20"/>
              </w:rPr>
              <w:t>如周期、周期比、刚度比、层间位移角、位移比、剪重比、底部抗倾覆弯矩等，</w:t>
            </w:r>
            <w:r>
              <w:rPr>
                <w:rFonts w:ascii="宋体" w:hAnsi="宋体" w:eastAsia="宋体" w:cs="宋体"/>
                <w:kern w:val="0"/>
                <w:sz w:val="20"/>
                <w:szCs w:val="20"/>
              </w:rPr>
              <w:t xml:space="preserve">可以采用图表方式表示； </w:t>
            </w:r>
            <w:r>
              <w:rPr>
                <w:rFonts w:hint="eastAsia" w:ascii="宋体" w:hAnsi="宋体" w:eastAsia="宋体" w:cs="宋体"/>
                <w:kern w:val="0"/>
                <w:sz w:val="20"/>
                <w:szCs w:val="20"/>
              </w:rPr>
              <w:t>并判别其符合性和结构规则性；</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□需要</w:t>
            </w:r>
            <w:r>
              <w:rPr>
                <w:rFonts w:ascii="宋体" w:hAnsi="宋体" w:eastAsia="宋体" w:cs="宋体"/>
                <w:kern w:val="0"/>
                <w:sz w:val="20"/>
                <w:szCs w:val="20"/>
              </w:rPr>
              <w:t>采用基于性能的抗震设计时，应明确结构性能目标和技术措施。</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计算嵌固部位</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结构输入的主要参数</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主要控制性分析结果</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主要计算结果和结构规则性判定</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性能化抗震设计</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0943"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523"/>
        <w:gridCol w:w="4536"/>
        <w:gridCol w:w="4536"/>
        <w:gridCol w:w="4536"/>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442"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3608"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442"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结构</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结构设计</w:t>
            </w:r>
          </w:p>
        </w:tc>
        <w:tc>
          <w:tcPr>
            <w:tcW w:w="3523"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设计原则</w:t>
            </w:r>
          </w:p>
        </w:tc>
        <w:tc>
          <w:tcPr>
            <w:tcW w:w="13608" w:type="dxa"/>
            <w:gridSpan w:val="3"/>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□结构设计应在做到安全适用、经济合理、施工便捷的基础上，优先采用资源消耗少、环境影响小以及便于材料循环再利用的建筑结构体系；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□选择建设场地时，应满足现行国家标准《建筑抗震设计规范》</w:t>
            </w:r>
            <w:r>
              <w:rPr>
                <w:rFonts w:ascii="宋体" w:hAnsi="宋体" w:eastAsia="宋体" w:cs="宋体"/>
                <w:kern w:val="0"/>
                <w:sz w:val="20"/>
                <w:szCs w:val="20"/>
              </w:rPr>
              <w:t xml:space="preserve">GB 50011 </w:t>
            </w:r>
            <w:r>
              <w:rPr>
                <w:rFonts w:hint="eastAsia" w:ascii="宋体" w:hAnsi="宋体" w:eastAsia="宋体" w:cs="宋体"/>
                <w:kern w:val="0"/>
                <w:sz w:val="20"/>
                <w:szCs w:val="20"/>
              </w:rPr>
              <w:t>的相关要求；</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□建筑结构应满足承载力、变形和建筑使用功能的要求，结构构件的耐久性应满足相应设计使用年限的要求；</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□滨海建筑应充分考虑结构的耐久性，采取专门的提高结构耐久性和防腐蚀的措施。</w:t>
            </w:r>
          </w:p>
        </w:tc>
        <w:tc>
          <w:tcPr>
            <w:tcW w:w="1220" w:type="dxa"/>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抗震设计和结构布置</w:t>
            </w:r>
          </w:p>
        </w:tc>
        <w:tc>
          <w:tcPr>
            <w:tcW w:w="13608" w:type="dxa"/>
            <w:gridSpan w:val="3"/>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□结构方案应满足抗震概念设计的要求，不应采用严重不规则的结构方案，对于特别不规则的结构应合理确定抗震性能目标。</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结构缝（伸缩缝、沉降缝和防震缝）和后浇带的设置</w:t>
            </w:r>
            <w:r>
              <w:rPr>
                <w:rFonts w:hint="eastAsia" w:ascii="宋体" w:hAnsi="宋体" w:eastAsia="宋体" w:cs="宋体"/>
                <w:kern w:val="0"/>
                <w:sz w:val="20"/>
                <w:szCs w:val="20"/>
              </w:rPr>
              <w:t>合理</w:t>
            </w:r>
            <w:r>
              <w:rPr>
                <w:rFonts w:ascii="宋体" w:hAnsi="宋体" w:eastAsia="宋体" w:cs="宋体"/>
                <w:kern w:val="0"/>
                <w:sz w:val="20"/>
                <w:szCs w:val="20"/>
              </w:rPr>
              <w:t xml:space="preserve">； </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8" w:hRule="atLeast"/>
        </w:trPr>
        <w:tc>
          <w:tcPr>
            <w:tcW w:w="754" w:type="dxa"/>
            <w:vMerge w:val="continue"/>
            <w:tcBorders>
              <w:bottom w:val="single" w:color="auto" w:sz="4" w:space="0"/>
            </w:tcBorders>
          </w:tcPr>
          <w:p>
            <w:pPr>
              <w:widowControl/>
              <w:jc w:val="left"/>
              <w:rPr>
                <w:rFonts w:ascii="宋体" w:hAnsi="宋体" w:eastAsia="宋体" w:cs="宋体"/>
                <w:b/>
                <w:bCs/>
                <w:kern w:val="0"/>
                <w:sz w:val="20"/>
                <w:szCs w:val="20"/>
              </w:rPr>
            </w:pPr>
          </w:p>
        </w:tc>
        <w:tc>
          <w:tcPr>
            <w:tcW w:w="919" w:type="dxa"/>
            <w:vMerge w:val="continue"/>
            <w:tcBorders>
              <w:bottom w:val="single" w:color="auto" w:sz="4" w:space="0"/>
            </w:tcBorders>
            <w:vAlign w:val="center"/>
          </w:tcPr>
          <w:p>
            <w:pPr>
              <w:widowControl/>
              <w:jc w:val="left"/>
              <w:rPr>
                <w:rFonts w:ascii="宋体" w:hAnsi="宋体" w:eastAsia="宋体" w:cs="宋体"/>
                <w:b/>
                <w:bCs/>
                <w:kern w:val="0"/>
                <w:sz w:val="20"/>
                <w:szCs w:val="20"/>
              </w:rPr>
            </w:pPr>
          </w:p>
        </w:tc>
        <w:tc>
          <w:tcPr>
            <w:tcW w:w="919" w:type="dxa"/>
            <w:vMerge w:val="continue"/>
            <w:tcBorders>
              <w:bottom w:val="single" w:color="auto" w:sz="4" w:space="0"/>
            </w:tcBorders>
            <w:shd w:val="clear" w:color="auto" w:fill="auto"/>
            <w:vAlign w:val="center"/>
          </w:tcPr>
          <w:p>
            <w:pPr>
              <w:widowControl/>
              <w:jc w:val="left"/>
              <w:rPr>
                <w:rFonts w:ascii="宋体" w:hAnsi="宋体" w:eastAsia="宋体" w:cs="宋体"/>
                <w:kern w:val="0"/>
                <w:sz w:val="20"/>
                <w:szCs w:val="20"/>
              </w:rPr>
            </w:pPr>
          </w:p>
        </w:tc>
        <w:tc>
          <w:tcPr>
            <w:tcW w:w="3523" w:type="dxa"/>
            <w:vMerge w:val="continue"/>
            <w:tcBorders>
              <w:bottom w:val="single" w:color="auto" w:sz="4" w:space="0"/>
            </w:tcBorders>
            <w:shd w:val="clear" w:color="auto" w:fill="auto"/>
            <w:vAlign w:val="center"/>
          </w:tcPr>
          <w:p>
            <w:pPr>
              <w:widowControl/>
              <w:jc w:val="left"/>
              <w:rPr>
                <w:rFonts w:ascii="宋体" w:hAnsi="宋体" w:eastAsia="宋体" w:cs="宋体"/>
                <w:kern w:val="0"/>
                <w:sz w:val="20"/>
                <w:szCs w:val="20"/>
              </w:rPr>
            </w:pPr>
          </w:p>
        </w:tc>
        <w:tc>
          <w:tcPr>
            <w:tcW w:w="4536" w:type="dxa"/>
            <w:tcBorders>
              <w:bottom w:val="single" w:color="auto" w:sz="4" w:space="0"/>
            </w:tcBorders>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□应根据受力特点选择材料用量较少的结构体系；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□不宜采用因建筑形体不规则而形成的超限结构；</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□在高层和大跨度结构中，宜优先采用钢结构、钢与混凝土混合结构、预应力结构等结构体系；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□宜采用符合工业化建造要求结构体系与结构构件；</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□宜采用基于概念设计的抗震设计，并合理提高建筑的抗震性能。</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□地基基础设计应结合建筑所在地实际情况、上部结构特点及使用要求，综合考虑施工条件、场地环境和工程造价等因素，优先采用环境影响小、质量有保证、施工可实现、节约材料的基础形式；</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□高层建筑宜考虑地基基础与上部结构的共同作用，进行协同设计；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□桩基础沉降控制时，宜考虑承台、桩与土的协同作用；</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□筏板基础宜根据桩、土协同计算结果进行优化设计；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□场地土条件及周边环境合适时，桩基宜优先采用预制桩，钻孔灌注桩宜通过采用后注浆技术提高桩基承载力；</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□宜通过先期试桩确定单桩承载力特征值；</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□对于抗压设计为主的基础，当建筑设置地下室时宜合理考虑地下水的有利作用。</w:t>
            </w:r>
          </w:p>
          <w:p>
            <w:pPr>
              <w:rPr>
                <w:rFonts w:ascii="宋体" w:hAnsi="宋体" w:eastAsia="宋体" w:cs="宋体"/>
                <w:kern w:val="0"/>
                <w:sz w:val="20"/>
                <w:szCs w:val="20"/>
              </w:rPr>
            </w:pPr>
            <w:r>
              <w:rPr>
                <w:rFonts w:hint="eastAsia" w:ascii="宋体" w:hAnsi="宋体" w:eastAsia="宋体" w:cs="宋体"/>
                <w:kern w:val="0"/>
                <w:sz w:val="20"/>
                <w:szCs w:val="20"/>
              </w:rPr>
              <w:t>□大跨度混凝土楼盖结构宜合理采用预应力楼盖及现浇混凝土空心楼板等技术；</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□由强度控制的钢结构构件优先选用高强钢材，由刚度控制的钢结构优先调整构件布置和构件截面；</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□采用钢结构楼盖时，宜合理采用组合梁设计；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□建筑结构与建筑设备管线宜分离布置。</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□钢结构现场连接、拼接节点宜采用螺栓连接等非现场焊接的节点形式；</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□钢结构施工时宜采用免支撑的楼（屋）面板。</w:t>
            </w:r>
          </w:p>
        </w:tc>
        <w:tc>
          <w:tcPr>
            <w:tcW w:w="4536" w:type="dxa"/>
            <w:tcBorders>
              <w:bottom w:val="single" w:color="auto" w:sz="4" w:space="0"/>
            </w:tcBorders>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□应根据受力特点选择材料用量较少的结构体系；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□不宜采用因建筑形体不规则而形成的超限结构；</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□在高层和大跨度结构中，宜优先采用钢结构、钢与混凝土混合结构、预应力结构等结构体系；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□宜采用符合工业化建造要求结构体系与结构构件；</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□宜采用基于概念设计的抗震设计，并合理提高建筑的抗震性能。</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□地基基础设计应结合建筑所在地实际情况、上部结构特点及使用要求，综合考虑施工条件、场地环境和工程造价等因素，优先采用环境影响小、质量有保证、施工可实现、节约材料的基础形式；</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□高层建筑宜考虑地基基础与上部结构的共同作用，进行协同设计；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□桩基础沉降控制时，宜考虑承台、桩与土的协同作用；</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□筏板基础宜根据桩、土协同计算结果进行优化设计；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□场地土条件及周边环境合适时，桩基宜优先采用预制桩，钻孔灌注桩宜通过采用后注浆技术提高桩基承载力；</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□宜通过先期试桩确定单桩承载力特征值；</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□对于抗压设计为主的基础，当建筑设置地下室时宜合理考虑地下水的有利作用。</w:t>
            </w:r>
          </w:p>
          <w:p>
            <w:pPr>
              <w:rPr>
                <w:rFonts w:ascii="宋体" w:hAnsi="宋体" w:eastAsia="宋体" w:cs="宋体"/>
                <w:kern w:val="0"/>
                <w:sz w:val="20"/>
                <w:szCs w:val="20"/>
              </w:rPr>
            </w:pPr>
            <w:r>
              <w:rPr>
                <w:rFonts w:hint="eastAsia" w:ascii="宋体" w:hAnsi="宋体" w:eastAsia="宋体" w:cs="宋体"/>
                <w:kern w:val="0"/>
                <w:sz w:val="20"/>
                <w:szCs w:val="20"/>
              </w:rPr>
              <w:t>□大跨度混凝土楼盖结构宜合理采用预应力楼盖及现浇混凝土空心楼板等技术；</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□由强度控制的钢结构构件优先选用高强钢材，由刚度控制的钢结构优先调整构件布置和构件截面；</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□采用钢结构楼盖时，宜合理采用组合梁设计；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□建筑结构与建筑设备管线宜分离布置。</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□钢结构现场连接、拼接节点宜采用螺栓连接等非现场焊接的节点形式；</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□钢结构施工时宜采用免支撑的楼（屋）面板。</w:t>
            </w:r>
          </w:p>
        </w:tc>
        <w:tc>
          <w:tcPr>
            <w:tcW w:w="4536" w:type="dxa"/>
            <w:tcBorders>
              <w:bottom w:val="single" w:color="auto" w:sz="4" w:space="0"/>
            </w:tcBorders>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□应根据受力特点选择材料用量较少的结构体系；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□不宜采用因建筑形体不规则而形成的超限结构；</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□在高层和大跨度结构中，宜优先采用钢结构、钢与混凝土混合结构、预应力结构等结构体系；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□宜采用符合工业化建造要求结构体系与结构构件；</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□宜采用基于概念设计的抗震设计，并合理提高建筑的抗震性能。</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□地基基础设计应结合建筑所在地实际情况、上部结构特点及使用要求，综合考虑施工条件、场地环境和工程造价等因素，优先采用环境影响小、质量有保证、施工可实现、节约材料的基础形式；</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□高层建筑宜考虑地基基础与上部结构的共同作用，进行协同设计；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□桩基础沉降控制时，宜考虑承台、桩与土的协同作用；</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□筏板基础宜根据桩、土协同计算结果进行优化设计；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□场地土条件及周边环境合适时，桩基宜优先采用预制桩，钻孔灌注桩宜通过采用后注浆技术提高桩基承载力；</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□宜通过先期试桩确定单桩承载力特征值；</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□对于抗压设计为主的基础，当建筑设置地下室时宜合理考虑地下水的有利作用。</w:t>
            </w:r>
          </w:p>
          <w:p>
            <w:pPr>
              <w:rPr>
                <w:rFonts w:ascii="宋体" w:hAnsi="宋体" w:eastAsia="宋体" w:cs="宋体"/>
                <w:kern w:val="0"/>
                <w:sz w:val="20"/>
                <w:szCs w:val="20"/>
              </w:rPr>
            </w:pPr>
            <w:r>
              <w:rPr>
                <w:rFonts w:hint="eastAsia" w:ascii="宋体" w:hAnsi="宋体" w:eastAsia="宋体" w:cs="宋体"/>
                <w:kern w:val="0"/>
                <w:sz w:val="20"/>
                <w:szCs w:val="20"/>
              </w:rPr>
              <w:t>□大跨度混凝土楼盖结构宜合理采用预应力楼盖及现浇混凝土空心楼板等技术；</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□由强度控制的钢结构构件优先选用高强钢材，由刚度控制的钢结构优先调整构件布置和构件截面；</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□采用钢结构楼盖时，宜合理采用组合梁设计；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□建筑结构与建筑设备管线宜分离布置。</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□钢结构现场连接、拼接节点宜采用螺栓连接等非现场焊接的节点形式；</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□钢结构施工时宜采用免支撑的楼（屋）面板。</w:t>
            </w:r>
          </w:p>
        </w:tc>
        <w:tc>
          <w:tcPr>
            <w:tcW w:w="1220" w:type="dxa"/>
            <w:vMerge w:val="continue"/>
            <w:tcBorders>
              <w:bottom w:val="single" w:color="auto" w:sz="4" w:space="0"/>
            </w:tcBorders>
            <w:shd w:val="clear" w:color="auto" w:fill="auto"/>
            <w:vAlign w:val="center"/>
          </w:tcPr>
          <w:p>
            <w:pPr>
              <w:jc w:val="left"/>
              <w:rPr>
                <w:rFonts w:ascii="宋体" w:hAnsi="宋体" w:eastAsia="宋体" w:cs="宋体"/>
                <w:b/>
                <w:bCs/>
                <w:kern w:val="0"/>
                <w:sz w:val="20"/>
                <w:szCs w:val="20"/>
              </w:rPr>
            </w:pPr>
          </w:p>
        </w:tc>
      </w:tr>
    </w:tbl>
    <w:p>
      <w:pPr>
        <w:rPr>
          <w:sz w:val="16"/>
          <w:szCs w:val="16"/>
        </w:rPr>
      </w:pPr>
    </w:p>
    <w:tbl>
      <w:tblPr>
        <w:tblStyle w:val="24"/>
        <w:tblW w:w="20943"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523"/>
        <w:gridCol w:w="4536"/>
        <w:gridCol w:w="4536"/>
        <w:gridCol w:w="4536"/>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442"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3608"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442"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结构</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结构节材</w:t>
            </w:r>
          </w:p>
        </w:tc>
        <w:tc>
          <w:tcPr>
            <w:tcW w:w="3523"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主要结构材料</w:t>
            </w:r>
          </w:p>
        </w:tc>
        <w:tc>
          <w:tcPr>
            <w:tcW w:w="13608" w:type="dxa"/>
            <w:gridSpan w:val="3"/>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□严禁采用国家和地方明令禁止使用或淘汰的材料和产品；</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□施工现场</w:t>
            </w:r>
            <w:r>
              <w:rPr>
                <w:rFonts w:ascii="宋体" w:hAnsi="宋体" w:eastAsia="宋体" w:cs="宋体"/>
                <w:kern w:val="0"/>
                <w:sz w:val="20"/>
                <w:szCs w:val="20"/>
              </w:rPr>
              <w:t>500km</w:t>
            </w:r>
            <w:r>
              <w:rPr>
                <w:rFonts w:hint="eastAsia" w:ascii="宋体" w:hAnsi="宋体" w:eastAsia="宋体" w:cs="宋体"/>
                <w:kern w:val="0"/>
                <w:sz w:val="20"/>
                <w:szCs w:val="20"/>
              </w:rPr>
              <w:t>以内生产的建筑材料重量占建筑材料总重量的比例应大于</w:t>
            </w:r>
            <w:r>
              <w:rPr>
                <w:rFonts w:ascii="宋体" w:hAnsi="宋体" w:eastAsia="宋体" w:cs="宋体"/>
                <w:kern w:val="0"/>
                <w:sz w:val="20"/>
                <w:szCs w:val="20"/>
              </w:rPr>
              <w:t>60%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□现浇混凝土应采用预拌混凝土，建筑砂浆应采用预拌砂浆；</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□混凝土结构中梁、柱、剪力墙等构件的受力普通钢筋应采用不低于</w:t>
            </w:r>
            <w:r>
              <w:rPr>
                <w:rFonts w:ascii="宋体" w:hAnsi="宋体" w:eastAsia="宋体" w:cs="宋体"/>
                <w:kern w:val="0"/>
                <w:sz w:val="20"/>
                <w:szCs w:val="20"/>
              </w:rPr>
              <w:t xml:space="preserve">400MPa </w:t>
            </w:r>
            <w:r>
              <w:rPr>
                <w:rFonts w:hint="eastAsia" w:ascii="宋体" w:hAnsi="宋体" w:eastAsia="宋体" w:cs="宋体"/>
                <w:kern w:val="0"/>
                <w:sz w:val="20"/>
                <w:szCs w:val="20"/>
              </w:rPr>
              <w:t>级的热轧带肋钢筋。</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□明确</w:t>
            </w:r>
            <w:r>
              <w:rPr>
                <w:rFonts w:ascii="宋体" w:hAnsi="宋体" w:eastAsia="宋体" w:cs="宋体"/>
                <w:kern w:val="0"/>
                <w:sz w:val="20"/>
                <w:szCs w:val="20"/>
              </w:rPr>
              <w:t>混凝土</w:t>
            </w:r>
            <w:r>
              <w:rPr>
                <w:rFonts w:hint="eastAsia" w:ascii="宋体" w:hAnsi="宋体" w:eastAsia="宋体" w:cs="宋体"/>
                <w:kern w:val="0"/>
                <w:sz w:val="20"/>
                <w:szCs w:val="20"/>
              </w:rPr>
              <w:t>、钢筋、填充墙、砂浆、钢材、其他特殊材料等主要结构材料的性能指标</w:t>
            </w:r>
            <w:r>
              <w:rPr>
                <w:rFonts w:ascii="宋体" w:hAnsi="宋体" w:eastAsia="宋体" w:cs="宋体"/>
                <w:kern w:val="0"/>
                <w:sz w:val="20"/>
                <w:szCs w:val="20"/>
              </w:rPr>
              <w:t>及应用范围；</w:t>
            </w:r>
            <w:r>
              <w:rPr>
                <w:rFonts w:hint="eastAsia" w:ascii="宋体" w:hAnsi="宋体" w:eastAsia="宋体" w:cs="宋体"/>
                <w:kern w:val="0"/>
                <w:sz w:val="20"/>
                <w:szCs w:val="20"/>
              </w:rPr>
              <w:t>审查结构主要材料的完整性、符合性和适用性。</w:t>
            </w:r>
          </w:p>
        </w:tc>
        <w:tc>
          <w:tcPr>
            <w:tcW w:w="1220" w:type="dxa"/>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vMerge w:val="continue"/>
            <w:shd w:val="clear" w:color="auto" w:fill="auto"/>
            <w:vAlign w:val="center"/>
          </w:tcPr>
          <w:p>
            <w:pPr>
              <w:widowControl/>
              <w:jc w:val="left"/>
              <w:rPr>
                <w:rFonts w:ascii="宋体" w:hAnsi="宋体" w:eastAsia="宋体" w:cs="宋体"/>
                <w:kern w:val="0"/>
                <w:sz w:val="20"/>
                <w:szCs w:val="20"/>
              </w:rPr>
            </w:pPr>
          </w:p>
        </w:tc>
        <w:tc>
          <w:tcPr>
            <w:tcW w:w="4536" w:type="dxa"/>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□钢筋混凝土结构或混合结构中混凝土部分，</w:t>
            </w:r>
            <w:r>
              <w:rPr>
                <w:rFonts w:ascii="宋体" w:hAnsi="宋体" w:eastAsia="宋体" w:cs="宋体"/>
                <w:kern w:val="0"/>
                <w:sz w:val="20"/>
                <w:szCs w:val="20"/>
              </w:rPr>
              <w:t xml:space="preserve">400MPa </w:t>
            </w:r>
            <w:r>
              <w:rPr>
                <w:rFonts w:hint="eastAsia" w:ascii="宋体" w:hAnsi="宋体" w:eastAsia="宋体" w:cs="宋体"/>
                <w:kern w:val="0"/>
                <w:sz w:val="20"/>
                <w:szCs w:val="20"/>
              </w:rPr>
              <w:t>级及以上受力普通钢筋占受力普通钢筋总量的比例不应小于</w:t>
            </w:r>
            <w:r>
              <w:rPr>
                <w:rFonts w:ascii="宋体" w:hAnsi="宋体" w:eastAsia="宋体" w:cs="宋体"/>
                <w:kern w:val="0"/>
                <w:sz w:val="20"/>
                <w:szCs w:val="20"/>
              </w:rPr>
              <w:t>85%</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□钢结构或高层混合结构中钢结构部分，</w:t>
            </w:r>
            <w:r>
              <w:rPr>
                <w:rFonts w:ascii="宋体" w:hAnsi="宋体" w:eastAsia="宋体" w:cs="宋体"/>
                <w:kern w:val="0"/>
                <w:sz w:val="20"/>
                <w:szCs w:val="20"/>
              </w:rPr>
              <w:t xml:space="preserve">Q355 </w:t>
            </w:r>
            <w:r>
              <w:rPr>
                <w:rFonts w:hint="eastAsia" w:ascii="宋体" w:hAnsi="宋体" w:eastAsia="宋体" w:cs="宋体"/>
                <w:kern w:val="0"/>
                <w:sz w:val="20"/>
                <w:szCs w:val="20"/>
              </w:rPr>
              <w:t>及以上高强</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钢材用量占钢材总量的比例不应小于</w:t>
            </w:r>
            <w:r>
              <w:rPr>
                <w:rFonts w:ascii="宋体" w:hAnsi="宋体" w:eastAsia="宋体" w:cs="宋体"/>
                <w:kern w:val="0"/>
                <w:sz w:val="20"/>
                <w:szCs w:val="20"/>
              </w:rPr>
              <w:t>50%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100</w:t>
            </w:r>
            <w:r>
              <w:rPr>
                <w:rFonts w:hint="eastAsia" w:ascii="宋体" w:hAnsi="宋体" w:eastAsia="宋体" w:cs="宋体"/>
                <w:kern w:val="0"/>
                <w:sz w:val="20"/>
                <w:szCs w:val="20"/>
              </w:rPr>
              <w:t>米以上高层钢筋混凝土结构中竖向承重结构采用强度等级不小于</w:t>
            </w:r>
            <w:r>
              <w:rPr>
                <w:rFonts w:ascii="宋体" w:hAnsi="宋体" w:eastAsia="宋体" w:cs="宋体"/>
                <w:kern w:val="0"/>
                <w:sz w:val="20"/>
                <w:szCs w:val="20"/>
              </w:rPr>
              <w:t xml:space="preserve">C50 </w:t>
            </w:r>
            <w:r>
              <w:rPr>
                <w:rFonts w:hint="eastAsia" w:ascii="宋体" w:hAnsi="宋体" w:eastAsia="宋体" w:cs="宋体"/>
                <w:kern w:val="0"/>
                <w:sz w:val="20"/>
                <w:szCs w:val="20"/>
              </w:rPr>
              <w:t>混凝土用量占竖向承重结构中混凝土总量的比例不宜小于</w:t>
            </w:r>
            <w:r>
              <w:rPr>
                <w:rFonts w:ascii="宋体" w:hAnsi="宋体" w:eastAsia="宋体" w:cs="宋体"/>
                <w:kern w:val="0"/>
                <w:sz w:val="20"/>
                <w:szCs w:val="20"/>
              </w:rPr>
              <w:t>50%</w:t>
            </w:r>
            <w:r>
              <w:rPr>
                <w:rFonts w:hint="eastAsia" w:ascii="宋体" w:hAnsi="宋体" w:eastAsia="宋体" w:cs="宋体"/>
                <w:kern w:val="0"/>
                <w:sz w:val="20"/>
                <w:szCs w:val="20"/>
              </w:rPr>
              <w:t>；</w:t>
            </w:r>
          </w:p>
        </w:tc>
        <w:tc>
          <w:tcPr>
            <w:tcW w:w="4536" w:type="dxa"/>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□钢筋混凝土结构或混合结构中混凝土部分，</w:t>
            </w:r>
            <w:r>
              <w:rPr>
                <w:rFonts w:ascii="宋体" w:hAnsi="宋体" w:eastAsia="宋体" w:cs="宋体"/>
                <w:kern w:val="0"/>
                <w:sz w:val="20"/>
                <w:szCs w:val="20"/>
              </w:rPr>
              <w:t xml:space="preserve">400MPa </w:t>
            </w:r>
            <w:r>
              <w:rPr>
                <w:rFonts w:hint="eastAsia" w:ascii="宋体" w:hAnsi="宋体" w:eastAsia="宋体" w:cs="宋体"/>
                <w:kern w:val="0"/>
                <w:sz w:val="20"/>
                <w:szCs w:val="20"/>
              </w:rPr>
              <w:t>级及以上受力普通钢筋占受力普通钢筋总量的比例不应小于</w:t>
            </w:r>
            <w:r>
              <w:rPr>
                <w:rFonts w:ascii="宋体" w:hAnsi="宋体" w:eastAsia="宋体" w:cs="宋体"/>
                <w:kern w:val="0"/>
                <w:sz w:val="20"/>
                <w:szCs w:val="20"/>
              </w:rPr>
              <w:t>85%</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□钢结构或高层混合结构中钢结构部分，</w:t>
            </w:r>
            <w:r>
              <w:rPr>
                <w:rFonts w:ascii="宋体" w:hAnsi="宋体" w:eastAsia="宋体" w:cs="宋体"/>
                <w:kern w:val="0"/>
                <w:sz w:val="20"/>
                <w:szCs w:val="20"/>
              </w:rPr>
              <w:t xml:space="preserve">Q355 </w:t>
            </w:r>
            <w:r>
              <w:rPr>
                <w:rFonts w:hint="eastAsia" w:ascii="宋体" w:hAnsi="宋体" w:eastAsia="宋体" w:cs="宋体"/>
                <w:kern w:val="0"/>
                <w:sz w:val="20"/>
                <w:szCs w:val="20"/>
              </w:rPr>
              <w:t>及以上高强钢材用量占钢材总量的比例不应小于</w:t>
            </w:r>
            <w:r>
              <w:rPr>
                <w:rFonts w:ascii="宋体" w:hAnsi="宋体" w:eastAsia="宋体" w:cs="宋体"/>
                <w:kern w:val="0"/>
                <w:sz w:val="20"/>
                <w:szCs w:val="20"/>
              </w:rPr>
              <w:t>50%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100</w:t>
            </w:r>
            <w:r>
              <w:rPr>
                <w:rFonts w:hint="eastAsia" w:ascii="宋体" w:hAnsi="宋体" w:eastAsia="宋体" w:cs="宋体"/>
                <w:kern w:val="0"/>
                <w:sz w:val="20"/>
                <w:szCs w:val="20"/>
              </w:rPr>
              <w:t>米以上高层钢筋混凝土结构中竖向承重结构采用强度等级不小于</w:t>
            </w:r>
            <w:r>
              <w:rPr>
                <w:rFonts w:ascii="宋体" w:hAnsi="宋体" w:eastAsia="宋体" w:cs="宋体"/>
                <w:kern w:val="0"/>
                <w:sz w:val="20"/>
                <w:szCs w:val="20"/>
              </w:rPr>
              <w:t xml:space="preserve">C50 </w:t>
            </w:r>
            <w:r>
              <w:rPr>
                <w:rFonts w:hint="eastAsia" w:ascii="宋体" w:hAnsi="宋体" w:eastAsia="宋体" w:cs="宋体"/>
                <w:kern w:val="0"/>
                <w:sz w:val="20"/>
                <w:szCs w:val="20"/>
              </w:rPr>
              <w:t>混凝土用量占竖向承重结构中混凝土总量的比例不宜小于</w:t>
            </w:r>
            <w:r>
              <w:rPr>
                <w:rFonts w:ascii="宋体" w:hAnsi="宋体" w:eastAsia="宋体" w:cs="宋体"/>
                <w:kern w:val="0"/>
                <w:sz w:val="20"/>
                <w:szCs w:val="20"/>
              </w:rPr>
              <w:t>50%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□人工填土宜就近选用经处理的工业废渣、无机建筑垃圾及素填土，并符合相关规范的要求。</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□优先采用无须外加装饰层的建筑材料。</w:t>
            </w:r>
          </w:p>
        </w:tc>
        <w:tc>
          <w:tcPr>
            <w:tcW w:w="4536" w:type="dxa"/>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□钢筋混凝土结构或混合结构中混凝土部分，</w:t>
            </w:r>
            <w:r>
              <w:rPr>
                <w:rFonts w:ascii="宋体" w:hAnsi="宋体" w:eastAsia="宋体" w:cs="宋体"/>
                <w:kern w:val="0"/>
                <w:sz w:val="20"/>
                <w:szCs w:val="20"/>
              </w:rPr>
              <w:t xml:space="preserve">400MPa </w:t>
            </w:r>
            <w:r>
              <w:rPr>
                <w:rFonts w:hint="eastAsia" w:ascii="宋体" w:hAnsi="宋体" w:eastAsia="宋体" w:cs="宋体"/>
                <w:kern w:val="0"/>
                <w:sz w:val="20"/>
                <w:szCs w:val="20"/>
              </w:rPr>
              <w:t>级及以上受力普通钢筋占受力普通钢筋总量的比例不应小于</w:t>
            </w:r>
            <w:r>
              <w:rPr>
                <w:rFonts w:ascii="宋体" w:hAnsi="宋体" w:eastAsia="宋体" w:cs="宋体"/>
                <w:kern w:val="0"/>
                <w:sz w:val="20"/>
                <w:szCs w:val="20"/>
              </w:rPr>
              <w:t>85%</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□钢结构或高层混合结构中钢结构部分，</w:t>
            </w:r>
            <w:r>
              <w:rPr>
                <w:rFonts w:ascii="宋体" w:hAnsi="宋体" w:eastAsia="宋体" w:cs="宋体"/>
                <w:kern w:val="0"/>
                <w:sz w:val="20"/>
                <w:szCs w:val="20"/>
              </w:rPr>
              <w:t xml:space="preserve">Q355 </w:t>
            </w:r>
            <w:r>
              <w:rPr>
                <w:rFonts w:hint="eastAsia" w:ascii="宋体" w:hAnsi="宋体" w:eastAsia="宋体" w:cs="宋体"/>
                <w:kern w:val="0"/>
                <w:sz w:val="20"/>
                <w:szCs w:val="20"/>
              </w:rPr>
              <w:t>及以上高强钢材用量占钢材总量的比例不应小于</w:t>
            </w:r>
            <w:r>
              <w:rPr>
                <w:rFonts w:ascii="宋体" w:hAnsi="宋体" w:eastAsia="宋体" w:cs="宋体"/>
                <w:kern w:val="0"/>
                <w:sz w:val="20"/>
                <w:szCs w:val="20"/>
              </w:rPr>
              <w:t>70%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100</w:t>
            </w:r>
            <w:r>
              <w:rPr>
                <w:rFonts w:hint="eastAsia" w:ascii="宋体" w:hAnsi="宋体" w:eastAsia="宋体" w:cs="宋体"/>
                <w:kern w:val="0"/>
                <w:sz w:val="20"/>
                <w:szCs w:val="20"/>
              </w:rPr>
              <w:t>米以上高层钢筋混凝土结构中竖向承重结构采用强度等级不小于</w:t>
            </w:r>
            <w:r>
              <w:rPr>
                <w:rFonts w:ascii="宋体" w:hAnsi="宋体" w:eastAsia="宋体" w:cs="宋体"/>
                <w:kern w:val="0"/>
                <w:sz w:val="20"/>
                <w:szCs w:val="20"/>
              </w:rPr>
              <w:t xml:space="preserve">C50 </w:t>
            </w:r>
            <w:r>
              <w:rPr>
                <w:rFonts w:hint="eastAsia" w:ascii="宋体" w:hAnsi="宋体" w:eastAsia="宋体" w:cs="宋体"/>
                <w:kern w:val="0"/>
                <w:sz w:val="20"/>
                <w:szCs w:val="20"/>
              </w:rPr>
              <w:t>混凝土用量占竖向承重结构中混凝土总量的比例不宜小于</w:t>
            </w:r>
            <w:r>
              <w:rPr>
                <w:rFonts w:ascii="宋体" w:hAnsi="宋体" w:eastAsia="宋体" w:cs="宋体"/>
                <w:kern w:val="0"/>
                <w:sz w:val="20"/>
                <w:szCs w:val="20"/>
              </w:rPr>
              <w:t>50%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□人工填土宜就近选用经处理的工业废渣、无机建筑垃圾及</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素填土，并符合相关规范的要求。</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□优先采用无须外加装饰层的建筑材料。</w:t>
            </w:r>
          </w:p>
        </w:tc>
        <w:tc>
          <w:tcPr>
            <w:tcW w:w="1220" w:type="dxa"/>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项目所在地材料供应情况</w:t>
            </w:r>
          </w:p>
        </w:tc>
        <w:tc>
          <w:tcPr>
            <w:tcW w:w="4536" w:type="dxa"/>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□施工现场</w:t>
            </w:r>
            <w:r>
              <w:rPr>
                <w:rFonts w:ascii="宋体" w:hAnsi="宋体" w:eastAsia="宋体" w:cs="宋体"/>
                <w:kern w:val="0"/>
                <w:sz w:val="20"/>
                <w:szCs w:val="20"/>
              </w:rPr>
              <w:t>500km</w:t>
            </w:r>
            <w:r>
              <w:rPr>
                <w:rFonts w:hint="eastAsia" w:ascii="宋体" w:hAnsi="宋体" w:eastAsia="宋体" w:cs="宋体"/>
                <w:kern w:val="0"/>
                <w:sz w:val="20"/>
                <w:szCs w:val="20"/>
              </w:rPr>
              <w:t>以内生产的建筑材料重量占建筑材料总重量的比例应大于</w:t>
            </w:r>
            <w:r>
              <w:rPr>
                <w:rFonts w:ascii="宋体" w:hAnsi="宋体" w:eastAsia="宋体" w:cs="宋体"/>
                <w:kern w:val="0"/>
                <w:sz w:val="20"/>
                <w:szCs w:val="20"/>
              </w:rPr>
              <w:t>60%</w:t>
            </w:r>
          </w:p>
        </w:tc>
        <w:tc>
          <w:tcPr>
            <w:tcW w:w="4536" w:type="dxa"/>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施工现场</w:t>
            </w:r>
            <w:r>
              <w:rPr>
                <w:rFonts w:ascii="宋体" w:hAnsi="宋体" w:eastAsia="宋体" w:cs="宋体"/>
                <w:kern w:val="0"/>
                <w:sz w:val="20"/>
                <w:szCs w:val="20"/>
              </w:rPr>
              <w:t>500km</w:t>
            </w:r>
            <w:r>
              <w:rPr>
                <w:rFonts w:hint="eastAsia" w:ascii="宋体" w:hAnsi="宋体" w:eastAsia="宋体" w:cs="宋体"/>
                <w:kern w:val="0"/>
                <w:sz w:val="20"/>
                <w:szCs w:val="20"/>
              </w:rPr>
              <w:t>以内生产的建筑材料重量占建筑材料总重量的比例不应低于</w:t>
            </w:r>
            <w:r>
              <w:rPr>
                <w:rFonts w:ascii="宋体" w:hAnsi="宋体" w:eastAsia="宋体" w:cs="宋体"/>
                <w:kern w:val="0"/>
                <w:sz w:val="20"/>
                <w:szCs w:val="20"/>
              </w:rPr>
              <w:t>70%</w:t>
            </w:r>
            <w:r>
              <w:rPr>
                <w:rFonts w:hint="eastAsia" w:ascii="宋体" w:hAnsi="宋体" w:eastAsia="宋体" w:cs="宋体"/>
                <w:kern w:val="0"/>
                <w:sz w:val="20"/>
                <w:szCs w:val="20"/>
              </w:rPr>
              <w:t>。</w:t>
            </w:r>
          </w:p>
        </w:tc>
        <w:tc>
          <w:tcPr>
            <w:tcW w:w="4536" w:type="dxa"/>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施工现场</w:t>
            </w:r>
            <w:r>
              <w:rPr>
                <w:rFonts w:ascii="宋体" w:hAnsi="宋体" w:eastAsia="宋体" w:cs="宋体"/>
                <w:kern w:val="0"/>
                <w:sz w:val="20"/>
                <w:szCs w:val="20"/>
              </w:rPr>
              <w:t xml:space="preserve">500km </w:t>
            </w:r>
            <w:r>
              <w:rPr>
                <w:rFonts w:hint="eastAsia" w:ascii="宋体" w:hAnsi="宋体" w:eastAsia="宋体" w:cs="宋体"/>
                <w:kern w:val="0"/>
                <w:sz w:val="20"/>
                <w:szCs w:val="20"/>
              </w:rPr>
              <w:t>以内生产的建筑材料重量占建筑材料总重量的比例不应低于</w:t>
            </w:r>
            <w:r>
              <w:rPr>
                <w:rFonts w:ascii="宋体" w:hAnsi="宋体" w:eastAsia="宋体" w:cs="宋体"/>
                <w:kern w:val="0"/>
                <w:sz w:val="20"/>
                <w:szCs w:val="20"/>
              </w:rPr>
              <w:t>90%</w:t>
            </w:r>
            <w:r>
              <w:rPr>
                <w:rFonts w:hint="eastAsia" w:ascii="宋体" w:hAnsi="宋体" w:eastAsia="宋体" w:cs="宋体"/>
                <w:kern w:val="0"/>
                <w:sz w:val="20"/>
                <w:szCs w:val="20"/>
              </w:rPr>
              <w:t>。</w:t>
            </w:r>
          </w:p>
        </w:tc>
        <w:tc>
          <w:tcPr>
            <w:tcW w:w="1220" w:type="dxa"/>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项目可再利用材料、可再循环材料、以废弃物为原料生产的建筑材料利用情况等</w:t>
            </w:r>
          </w:p>
        </w:tc>
        <w:tc>
          <w:tcPr>
            <w:tcW w:w="4536" w:type="dxa"/>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□可再循环材料、可再利用建筑材料。可再循环材料、可再利用建筑材料的用量比例在住宅建筑中不应低于</w:t>
            </w:r>
            <w:r>
              <w:rPr>
                <w:rFonts w:ascii="宋体" w:hAnsi="宋体" w:eastAsia="宋体" w:cs="宋体"/>
                <w:kern w:val="0"/>
                <w:sz w:val="20"/>
                <w:szCs w:val="20"/>
              </w:rPr>
              <w:t>6%</w:t>
            </w:r>
            <w:r>
              <w:rPr>
                <w:rFonts w:hint="eastAsia" w:ascii="宋体" w:hAnsi="宋体" w:eastAsia="宋体" w:cs="宋体"/>
                <w:kern w:val="0"/>
                <w:sz w:val="20"/>
                <w:szCs w:val="20"/>
              </w:rPr>
              <w:t>，公共建筑中不应低于</w:t>
            </w:r>
            <w:r>
              <w:rPr>
                <w:rFonts w:ascii="宋体" w:hAnsi="宋体" w:eastAsia="宋体" w:cs="宋体"/>
                <w:kern w:val="0"/>
                <w:sz w:val="20"/>
                <w:szCs w:val="20"/>
              </w:rPr>
              <w:t>10%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□以各种废弃物为原料生产的建筑材料。只采用一种利废建材时，其占同类建材的用量比例不宜低于</w:t>
            </w:r>
            <w:r>
              <w:rPr>
                <w:rFonts w:ascii="宋体" w:hAnsi="宋体" w:eastAsia="宋体" w:cs="宋体"/>
                <w:kern w:val="0"/>
                <w:sz w:val="20"/>
                <w:szCs w:val="20"/>
              </w:rPr>
              <w:t>50%</w:t>
            </w:r>
            <w:r>
              <w:rPr>
                <w:rFonts w:hint="eastAsia" w:ascii="宋体" w:hAnsi="宋体" w:eastAsia="宋体" w:cs="宋体"/>
                <w:kern w:val="0"/>
                <w:sz w:val="20"/>
                <w:szCs w:val="20"/>
              </w:rPr>
              <w:t>。选用两种及以上的利废建材时，每一种占同类建材的用量比例均不宜低于</w:t>
            </w:r>
            <w:r>
              <w:rPr>
                <w:rFonts w:ascii="宋体" w:hAnsi="宋体" w:eastAsia="宋体" w:cs="宋体"/>
                <w:kern w:val="0"/>
                <w:sz w:val="20"/>
                <w:szCs w:val="20"/>
              </w:rPr>
              <w:t>30%</w:t>
            </w:r>
            <w:r>
              <w:rPr>
                <w:rFonts w:hint="eastAsia" w:ascii="宋体" w:hAnsi="宋体" w:eastAsia="宋体" w:cs="宋体"/>
                <w:kern w:val="0"/>
                <w:sz w:val="20"/>
                <w:szCs w:val="20"/>
              </w:rPr>
              <w:t>；</w:t>
            </w:r>
          </w:p>
        </w:tc>
        <w:tc>
          <w:tcPr>
            <w:tcW w:w="4536" w:type="dxa"/>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□可再循环材料、可再利用建筑材料。可再循环材料、可再利用建筑材料的用量比例在住宅建筑中不应低于</w:t>
            </w:r>
            <w:r>
              <w:rPr>
                <w:rFonts w:ascii="宋体" w:hAnsi="宋体" w:eastAsia="宋体" w:cs="宋体"/>
                <w:kern w:val="0"/>
                <w:sz w:val="20"/>
                <w:szCs w:val="20"/>
              </w:rPr>
              <w:t>6%</w:t>
            </w:r>
            <w:r>
              <w:rPr>
                <w:rFonts w:hint="eastAsia" w:ascii="宋体" w:hAnsi="宋体" w:eastAsia="宋体" w:cs="宋体"/>
                <w:kern w:val="0"/>
                <w:sz w:val="20"/>
                <w:szCs w:val="20"/>
              </w:rPr>
              <w:t>，公共建筑中不应低于</w:t>
            </w:r>
            <w:r>
              <w:rPr>
                <w:rFonts w:ascii="宋体" w:hAnsi="宋体" w:eastAsia="宋体" w:cs="宋体"/>
                <w:kern w:val="0"/>
                <w:sz w:val="20"/>
                <w:szCs w:val="20"/>
              </w:rPr>
              <w:t>10%</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□以各种废弃物为原料生产的建筑材料。只采用一种利废建材时，其占同类建材的用量比例不宜低于</w:t>
            </w:r>
            <w:r>
              <w:rPr>
                <w:rFonts w:ascii="宋体" w:hAnsi="宋体" w:eastAsia="宋体" w:cs="宋体"/>
                <w:kern w:val="0"/>
                <w:sz w:val="20"/>
                <w:szCs w:val="20"/>
              </w:rPr>
              <w:t>50%</w:t>
            </w:r>
            <w:r>
              <w:rPr>
                <w:rFonts w:hint="eastAsia" w:ascii="宋体" w:hAnsi="宋体" w:eastAsia="宋体" w:cs="宋体"/>
                <w:kern w:val="0"/>
                <w:sz w:val="20"/>
                <w:szCs w:val="20"/>
              </w:rPr>
              <w:t>。选用两种及以上的利废建材时，每一种占同类建材的用量比例均不宜低于</w:t>
            </w:r>
            <w:r>
              <w:rPr>
                <w:rFonts w:ascii="宋体" w:hAnsi="宋体" w:eastAsia="宋体" w:cs="宋体"/>
                <w:kern w:val="0"/>
                <w:sz w:val="20"/>
                <w:szCs w:val="20"/>
              </w:rPr>
              <w:t>30%</w:t>
            </w:r>
            <w:r>
              <w:rPr>
                <w:rFonts w:hint="eastAsia" w:ascii="宋体" w:hAnsi="宋体" w:eastAsia="宋体" w:cs="宋体"/>
                <w:kern w:val="0"/>
                <w:sz w:val="20"/>
                <w:szCs w:val="20"/>
              </w:rPr>
              <w:t>；</w:t>
            </w:r>
          </w:p>
        </w:tc>
        <w:tc>
          <w:tcPr>
            <w:tcW w:w="4536" w:type="dxa"/>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□可再循环材料、可再利用建筑材料的用量比例在住宅建筑中不宜低于</w:t>
            </w:r>
            <w:r>
              <w:rPr>
                <w:rFonts w:ascii="宋体" w:hAnsi="宋体" w:eastAsia="宋体" w:cs="宋体"/>
                <w:kern w:val="0"/>
                <w:sz w:val="20"/>
                <w:szCs w:val="20"/>
              </w:rPr>
              <w:t>10%</w:t>
            </w:r>
            <w:r>
              <w:rPr>
                <w:rFonts w:hint="eastAsia" w:ascii="宋体" w:hAnsi="宋体" w:eastAsia="宋体" w:cs="宋体"/>
                <w:kern w:val="0"/>
                <w:sz w:val="20"/>
                <w:szCs w:val="20"/>
              </w:rPr>
              <w:t>，公共建筑中不宜低于</w:t>
            </w:r>
            <w:r>
              <w:rPr>
                <w:rFonts w:ascii="宋体" w:hAnsi="宋体" w:eastAsia="宋体" w:cs="宋体"/>
                <w:kern w:val="0"/>
                <w:sz w:val="20"/>
                <w:szCs w:val="20"/>
              </w:rPr>
              <w:t>15%</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 xml:space="preserve"> </w:t>
            </w:r>
            <w:r>
              <w:rPr>
                <w:rFonts w:hint="eastAsia" w:ascii="宋体" w:hAnsi="宋体" w:eastAsia="宋体" w:cs="宋体"/>
                <w:kern w:val="0"/>
                <w:sz w:val="20"/>
                <w:szCs w:val="20"/>
              </w:rPr>
              <w:t>绿色建材的应用比例对住宅建筑不应低于</w:t>
            </w:r>
            <w:r>
              <w:rPr>
                <w:rFonts w:ascii="宋体" w:hAnsi="宋体" w:eastAsia="宋体" w:cs="宋体"/>
                <w:kern w:val="0"/>
                <w:sz w:val="20"/>
                <w:szCs w:val="20"/>
              </w:rPr>
              <w:t>30%</w:t>
            </w:r>
            <w:r>
              <w:rPr>
                <w:rFonts w:hint="eastAsia" w:ascii="宋体" w:hAnsi="宋体" w:eastAsia="宋体" w:cs="宋体"/>
                <w:kern w:val="0"/>
                <w:sz w:val="20"/>
                <w:szCs w:val="20"/>
              </w:rPr>
              <w:t>，对公共建筑不应低于</w:t>
            </w:r>
            <w:r>
              <w:rPr>
                <w:rFonts w:ascii="宋体" w:hAnsi="宋体" w:eastAsia="宋体" w:cs="宋体"/>
                <w:kern w:val="0"/>
                <w:sz w:val="20"/>
                <w:szCs w:val="20"/>
              </w:rPr>
              <w:t>50%</w:t>
            </w:r>
            <w:r>
              <w:rPr>
                <w:rFonts w:hint="eastAsia" w:ascii="宋体" w:hAnsi="宋体" w:eastAsia="宋体" w:cs="宋体"/>
                <w:kern w:val="0"/>
                <w:sz w:val="20"/>
                <w:szCs w:val="20"/>
              </w:rPr>
              <w:t>。</w:t>
            </w:r>
          </w:p>
        </w:tc>
        <w:tc>
          <w:tcPr>
            <w:tcW w:w="1220" w:type="dxa"/>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装配式建筑设计</w:t>
            </w:r>
          </w:p>
        </w:tc>
        <w:tc>
          <w:tcPr>
            <w:tcW w:w="3523"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装配式建筑设计目标</w:t>
            </w:r>
          </w:p>
        </w:tc>
        <w:tc>
          <w:tcPr>
            <w:tcW w:w="13608" w:type="dxa"/>
            <w:gridSpan w:val="3"/>
            <w:vMerge w:val="restart"/>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明确装配式建筑的规划要求，明确遵循的装配式建筑评价标准；</w:t>
            </w:r>
            <w:r>
              <w:rPr>
                <w:rFonts w:hint="eastAsia" w:ascii="宋体" w:hAnsi="宋体" w:eastAsia="宋体" w:cs="宋体"/>
                <w:kern w:val="0"/>
                <w:sz w:val="20"/>
                <w:szCs w:val="20"/>
              </w:rPr>
              <w:t>浙江省内项目一般采用《装配式建筑评价标准》</w:t>
            </w:r>
            <w:r>
              <w:rPr>
                <w:rFonts w:ascii="宋体" w:hAnsi="宋体" w:eastAsia="宋体" w:cs="宋体"/>
                <w:kern w:val="0"/>
                <w:sz w:val="20"/>
                <w:szCs w:val="20"/>
              </w:rPr>
              <w:t>DB33/T1165-2019</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□根据评价标准审查实施方案评价项的可行性、完整性及装配率：</w:t>
            </w:r>
          </w:p>
          <w:p>
            <w:pPr>
              <w:autoSpaceDE w:val="0"/>
              <w:autoSpaceDN w:val="0"/>
              <w:adjustRightInd w:val="0"/>
              <w:ind w:firstLine="200" w:firstLineChars="100"/>
              <w:jc w:val="left"/>
              <w:rPr>
                <w:rFonts w:ascii="宋体" w:hAnsi="宋体" w:eastAsia="宋体" w:cs="宋体"/>
                <w:kern w:val="0"/>
                <w:sz w:val="20"/>
                <w:szCs w:val="20"/>
              </w:rPr>
            </w:pPr>
            <w:r>
              <w:rPr>
                <w:rFonts w:ascii="宋体" w:hAnsi="宋体" w:eastAsia="宋体" w:cs="宋体"/>
                <w:kern w:val="0"/>
                <w:sz w:val="20"/>
                <w:szCs w:val="20"/>
              </w:rPr>
              <w:t>1</w:t>
            </w:r>
            <w:r>
              <w:rPr>
                <w:rFonts w:hint="eastAsia" w:ascii="宋体" w:hAnsi="宋体" w:eastAsia="宋体" w:cs="宋体"/>
                <w:kern w:val="0"/>
                <w:sz w:val="20"/>
                <w:szCs w:val="20"/>
              </w:rPr>
              <w:t>）</w:t>
            </w:r>
            <w:r>
              <w:rPr>
                <w:rFonts w:ascii="宋体" w:hAnsi="宋体" w:eastAsia="宋体" w:cs="宋体"/>
                <w:kern w:val="0"/>
                <w:sz w:val="20"/>
                <w:szCs w:val="20"/>
              </w:rPr>
              <w:t>装配式建筑设计目标及技术总述；</w:t>
            </w:r>
          </w:p>
          <w:p>
            <w:pPr>
              <w:autoSpaceDE w:val="0"/>
              <w:autoSpaceDN w:val="0"/>
              <w:adjustRightInd w:val="0"/>
              <w:ind w:firstLine="200" w:firstLineChars="100"/>
              <w:jc w:val="left"/>
              <w:rPr>
                <w:rFonts w:ascii="宋体" w:hAnsi="宋体" w:eastAsia="宋体" w:cs="宋体"/>
                <w:kern w:val="0"/>
                <w:sz w:val="20"/>
                <w:szCs w:val="20"/>
              </w:rPr>
            </w:pPr>
            <w:r>
              <w:rPr>
                <w:rFonts w:ascii="宋体" w:hAnsi="宋体" w:eastAsia="宋体" w:cs="宋体"/>
                <w:kern w:val="0"/>
                <w:sz w:val="20"/>
                <w:szCs w:val="20"/>
              </w:rPr>
              <w:t>2</w:t>
            </w:r>
            <w:r>
              <w:rPr>
                <w:rFonts w:hint="eastAsia" w:ascii="宋体" w:hAnsi="宋体" w:eastAsia="宋体" w:cs="宋体"/>
                <w:kern w:val="0"/>
                <w:sz w:val="20"/>
                <w:szCs w:val="20"/>
              </w:rPr>
              <w:t>）</w:t>
            </w:r>
            <w:r>
              <w:rPr>
                <w:rFonts w:ascii="宋体" w:hAnsi="宋体" w:eastAsia="宋体" w:cs="宋体"/>
                <w:kern w:val="0"/>
                <w:sz w:val="20"/>
                <w:szCs w:val="20"/>
              </w:rPr>
              <w:t>装配率评价项及说明，包括主体结构、围护墙和内隔墙、装修和设备管线等；</w:t>
            </w:r>
          </w:p>
          <w:p>
            <w:pPr>
              <w:autoSpaceDE w:val="0"/>
              <w:autoSpaceDN w:val="0"/>
              <w:adjustRightInd w:val="0"/>
              <w:ind w:firstLine="200" w:firstLineChars="100"/>
              <w:jc w:val="left"/>
              <w:rPr>
                <w:rFonts w:ascii="宋体" w:hAnsi="宋体" w:eastAsia="宋体" w:cs="宋体"/>
                <w:kern w:val="0"/>
                <w:sz w:val="20"/>
                <w:szCs w:val="20"/>
              </w:rPr>
            </w:pPr>
            <w:r>
              <w:rPr>
                <w:rFonts w:ascii="宋体" w:hAnsi="宋体" w:eastAsia="宋体" w:cs="宋体"/>
                <w:kern w:val="0"/>
                <w:sz w:val="20"/>
                <w:szCs w:val="20"/>
              </w:rPr>
              <w:t>3）装配率评分表及评价结论；</w:t>
            </w:r>
          </w:p>
          <w:p>
            <w:pPr>
              <w:autoSpaceDE w:val="0"/>
              <w:autoSpaceDN w:val="0"/>
              <w:adjustRightInd w:val="0"/>
              <w:ind w:firstLine="200" w:firstLineChars="100"/>
              <w:jc w:val="left"/>
              <w:rPr>
                <w:rFonts w:ascii="宋体" w:hAnsi="宋体" w:eastAsia="宋体" w:cs="宋体"/>
                <w:kern w:val="0"/>
                <w:sz w:val="20"/>
                <w:szCs w:val="20"/>
              </w:rPr>
            </w:pPr>
            <w:r>
              <w:rPr>
                <w:rFonts w:ascii="宋体" w:hAnsi="宋体" w:eastAsia="宋体" w:cs="宋体"/>
                <w:kern w:val="0"/>
                <w:sz w:val="20"/>
                <w:szCs w:val="20"/>
              </w:rPr>
              <w:t>4</w:t>
            </w:r>
            <w:r>
              <w:rPr>
                <w:rFonts w:hint="eastAsia" w:ascii="宋体" w:hAnsi="宋体" w:eastAsia="宋体" w:cs="宋体"/>
                <w:kern w:val="0"/>
                <w:sz w:val="20"/>
                <w:szCs w:val="20"/>
              </w:rPr>
              <w:t>）</w:t>
            </w:r>
            <w:r>
              <w:rPr>
                <w:rFonts w:ascii="宋体" w:hAnsi="宋体" w:eastAsia="宋体" w:cs="宋体"/>
                <w:kern w:val="0"/>
                <w:sz w:val="20"/>
                <w:szCs w:val="20"/>
              </w:rPr>
              <w:t>其他需要说明的问题</w:t>
            </w:r>
            <w:r>
              <w:rPr>
                <w:rFonts w:hint="eastAsia" w:ascii="宋体" w:hAnsi="宋体" w:eastAsia="宋体" w:cs="宋体"/>
                <w:kern w:val="0"/>
                <w:sz w:val="20"/>
                <w:szCs w:val="20"/>
              </w:rPr>
              <w:t>，包括主要节点和图纸</w:t>
            </w:r>
            <w:r>
              <w:rPr>
                <w:rFonts w:ascii="宋体" w:hAnsi="宋体" w:eastAsia="宋体" w:cs="宋体"/>
                <w:kern w:val="0"/>
                <w:sz w:val="20"/>
                <w:szCs w:val="20"/>
              </w:rPr>
              <w:t>。</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装配式建筑实施方案</w:t>
            </w:r>
          </w:p>
        </w:tc>
        <w:tc>
          <w:tcPr>
            <w:tcW w:w="13608"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装配式建筑评价指标</w:t>
            </w:r>
          </w:p>
        </w:tc>
        <w:tc>
          <w:tcPr>
            <w:tcW w:w="13608"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设计图纸</w:t>
            </w:r>
          </w:p>
        </w:tc>
        <w:tc>
          <w:tcPr>
            <w:tcW w:w="3523"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地基</w:t>
            </w:r>
            <w:r>
              <w:rPr>
                <w:rFonts w:ascii="宋体" w:hAnsi="宋体" w:eastAsia="宋体" w:cs="宋体"/>
                <w:kern w:val="0"/>
                <w:sz w:val="20"/>
                <w:szCs w:val="20"/>
              </w:rPr>
              <w:t>基础平面布置图</w:t>
            </w:r>
          </w:p>
        </w:tc>
        <w:tc>
          <w:tcPr>
            <w:tcW w:w="13608"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□设计图纸应满足</w:t>
            </w:r>
            <w:r>
              <w:rPr>
                <w:rFonts w:ascii="宋体" w:hAnsi="宋体" w:eastAsia="宋体" w:cs="宋体"/>
                <w:kern w:val="0"/>
                <w:sz w:val="20"/>
                <w:szCs w:val="20"/>
              </w:rPr>
              <w:t>中华人民共和国住房和城乡建设部《建筑工程设计文件编制深度要求》（2016年版）</w:t>
            </w:r>
            <w:r>
              <w:rPr>
                <w:rFonts w:hint="eastAsia" w:ascii="宋体" w:hAnsi="宋体" w:eastAsia="宋体" w:cs="宋体"/>
                <w:kern w:val="0"/>
                <w:sz w:val="20"/>
                <w:szCs w:val="20"/>
              </w:rPr>
              <w:t>初步设计图纸深度要求；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□设计图纸满足《建筑结构制图标准》</w:t>
            </w:r>
            <w:r>
              <w:rPr>
                <w:rFonts w:ascii="宋体" w:hAnsi="宋体" w:eastAsia="宋体" w:cs="宋体"/>
                <w:kern w:val="0"/>
                <w:sz w:val="20"/>
                <w:szCs w:val="20"/>
              </w:rPr>
              <w:t>GB/T5010</w:t>
            </w:r>
            <w:r>
              <w:rPr>
                <w:rFonts w:hint="eastAsia" w:ascii="宋体" w:hAnsi="宋体" w:eastAsia="宋体" w:cs="宋体"/>
                <w:kern w:val="0"/>
                <w:sz w:val="20"/>
                <w:szCs w:val="20"/>
              </w:rPr>
              <w:t>要求；</w:t>
            </w:r>
          </w:p>
          <w:p>
            <w:pPr>
              <w:jc w:val="left"/>
              <w:rPr>
                <w:rFonts w:ascii="宋体" w:hAnsi="宋体" w:eastAsia="宋体" w:cs="宋体"/>
                <w:kern w:val="0"/>
                <w:sz w:val="20"/>
                <w:szCs w:val="20"/>
              </w:rPr>
            </w:pPr>
            <w:r>
              <w:rPr>
                <w:rFonts w:hint="eastAsia" w:ascii="宋体" w:hAnsi="宋体" w:eastAsia="宋体" w:cs="宋体"/>
                <w:kern w:val="0"/>
                <w:sz w:val="20"/>
                <w:szCs w:val="20"/>
              </w:rPr>
              <w:t>□设计图纸和说明基本一致。</w:t>
            </w:r>
          </w:p>
        </w:tc>
        <w:tc>
          <w:tcPr>
            <w:tcW w:w="1220" w:type="dxa"/>
            <w:vMerge w:val="restart"/>
            <w:shd w:val="clear" w:color="auto" w:fill="auto"/>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地下室结构平面布置图</w:t>
            </w:r>
            <w:r>
              <w:rPr>
                <w:rFonts w:hint="eastAsia" w:ascii="宋体" w:hAnsi="宋体" w:eastAsia="宋体" w:cs="宋体"/>
                <w:kern w:val="0"/>
                <w:sz w:val="20"/>
                <w:szCs w:val="20"/>
              </w:rPr>
              <w:t>（包括人防）</w:t>
            </w:r>
          </w:p>
        </w:tc>
        <w:tc>
          <w:tcPr>
            <w:tcW w:w="13608"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上部结构楼层结构平面布置图</w:t>
            </w:r>
          </w:p>
        </w:tc>
        <w:tc>
          <w:tcPr>
            <w:tcW w:w="13608"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主要或关键性节点、支座示意图</w:t>
            </w:r>
          </w:p>
        </w:tc>
        <w:tc>
          <w:tcPr>
            <w:tcW w:w="13608"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08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2956"/>
        <w:gridCol w:w="3261"/>
        <w:gridCol w:w="5670"/>
        <w:gridCol w:w="5386"/>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3875"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317"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3875" w:type="dxa"/>
            <w:gridSpan w:val="2"/>
            <w:vMerge w:val="continue"/>
            <w:vAlign w:val="center"/>
          </w:tcPr>
          <w:p>
            <w:pPr>
              <w:widowControl/>
              <w:jc w:val="left"/>
              <w:rPr>
                <w:rFonts w:ascii="黑体" w:hAnsi="黑体" w:eastAsia="黑体" w:cs="宋体"/>
                <w:b/>
                <w:bCs/>
                <w:kern w:val="0"/>
                <w:sz w:val="20"/>
                <w:szCs w:val="20"/>
              </w:rPr>
            </w:pPr>
          </w:p>
        </w:tc>
        <w:tc>
          <w:tcPr>
            <w:tcW w:w="3261"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5670"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538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暖通空调用能设备系统</w:t>
            </w: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暖通空调室内外设计参数</w:t>
            </w:r>
          </w:p>
        </w:tc>
        <w:tc>
          <w:tcPr>
            <w:tcW w:w="2956" w:type="dxa"/>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空调室外计算参数</w:t>
            </w:r>
          </w:p>
        </w:tc>
        <w:tc>
          <w:tcPr>
            <w:tcW w:w="14317" w:type="dxa"/>
            <w:gridSpan w:val="3"/>
            <w:vMerge w:val="restart"/>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□主要空间的设计新风量满足相关国家、地方规范与标准及卫生防疫的要求</w:t>
            </w:r>
          </w:p>
          <w:p>
            <w:pPr>
              <w:widowControl/>
              <w:rPr>
                <w:rFonts w:ascii="宋体" w:hAnsi="宋体" w:eastAsia="宋体" w:cs="宋体"/>
                <w:kern w:val="0"/>
                <w:sz w:val="20"/>
                <w:szCs w:val="20"/>
              </w:rPr>
            </w:pPr>
            <w:r>
              <w:rPr>
                <w:rFonts w:hint="eastAsia" w:ascii="宋体" w:hAnsi="宋体" w:eastAsia="宋体" w:cs="宋体"/>
                <w:kern w:val="0"/>
                <w:sz w:val="20"/>
                <w:szCs w:val="20"/>
              </w:rPr>
              <w:t>□室内外设计参数选取合理</w:t>
            </w:r>
          </w:p>
          <w:p>
            <w:pPr>
              <w:widowControl/>
              <w:rPr>
                <w:rFonts w:ascii="宋体" w:hAnsi="宋体" w:eastAsia="宋体" w:cs="宋体"/>
                <w:kern w:val="0"/>
                <w:sz w:val="20"/>
                <w:szCs w:val="20"/>
              </w:rPr>
            </w:pPr>
            <w:r>
              <w:rPr>
                <w:rFonts w:hint="eastAsia" w:ascii="宋体" w:hAnsi="宋体" w:eastAsia="宋体" w:cs="宋体"/>
                <w:kern w:val="0"/>
                <w:sz w:val="20"/>
                <w:szCs w:val="20"/>
              </w:rPr>
              <w:t>□房间的设计温度根据建筑空间功能分区设置，室内过渡区空间的温度设计标准合理降低；</w:t>
            </w:r>
          </w:p>
          <w:p>
            <w:pPr>
              <w:widowControl/>
              <w:rPr>
                <w:rFonts w:ascii="宋体" w:hAnsi="宋体" w:eastAsia="宋体" w:cs="宋体"/>
                <w:kern w:val="0"/>
                <w:sz w:val="20"/>
                <w:szCs w:val="20"/>
              </w:rPr>
            </w:pPr>
            <w:r>
              <w:rPr>
                <w:rFonts w:hint="eastAsia" w:ascii="宋体" w:hAnsi="宋体" w:eastAsia="宋体" w:cs="宋体"/>
                <w:kern w:val="0"/>
                <w:sz w:val="20"/>
                <w:szCs w:val="20"/>
              </w:rPr>
              <w:t>□空调通风计算折算房间通风换气次数合理</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室内设计参数</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通风换气指标</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空调冷负荷计算数据</w:t>
            </w:r>
          </w:p>
        </w:tc>
        <w:tc>
          <w:tcPr>
            <w:tcW w:w="29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不同冷热源分区系统的冷热负荷数据</w:t>
            </w:r>
          </w:p>
        </w:tc>
        <w:tc>
          <w:tcPr>
            <w:tcW w:w="14317"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□空调负荷折算建筑面积冷热负荷指标同比该地区同类型节能建筑在合理范围内</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分区建筑面积</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分区冷热负荷指标</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冷热源</w:t>
            </w:r>
          </w:p>
        </w:tc>
        <w:tc>
          <w:tcPr>
            <w:tcW w:w="2956" w:type="dxa"/>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冷热源分区</w:t>
            </w:r>
          </w:p>
        </w:tc>
        <w:tc>
          <w:tcPr>
            <w:tcW w:w="3261"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□空调冷热源形式符合项目特点，不采用电直接加热设备作为供暖和空气加湿热源</w:t>
            </w:r>
            <w:r>
              <w:rPr>
                <w:rFonts w:ascii="宋体" w:hAnsi="宋体" w:eastAsia="宋体" w:cs="宋体"/>
                <w:kern w:val="0"/>
                <w:sz w:val="20"/>
                <w:szCs w:val="20"/>
              </w:rPr>
              <w:br w:type="textWrapping"/>
            </w:r>
            <w:r>
              <w:rPr>
                <w:rFonts w:hint="eastAsia" w:ascii="宋体" w:hAnsi="宋体" w:eastAsia="宋体" w:cs="宋体"/>
                <w:kern w:val="0"/>
                <w:sz w:val="20"/>
                <w:szCs w:val="20"/>
              </w:rPr>
              <w:t>□空调冷热源设备的总装机容量合理，电动压缩式冷水机组的规格不符合计算冷负荷的要求时，所选择机组的总装机容量与计算冷负荷的比值不大于</w:t>
            </w:r>
            <w:r>
              <w:rPr>
                <w:rFonts w:ascii="宋体" w:hAnsi="宋体" w:eastAsia="宋体" w:cs="宋体"/>
                <w:kern w:val="0"/>
                <w:sz w:val="20"/>
                <w:szCs w:val="20"/>
              </w:rPr>
              <w:t>1.1</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□空调冷热源设计能满足部分负荷运行要求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□空调制冷系统所用制冷剂应在安全的基础上选用环境友好的制冷剂</w:t>
            </w:r>
            <w:r>
              <w:rPr>
                <w:rFonts w:ascii="宋体" w:hAnsi="宋体" w:eastAsia="宋体" w:cs="宋体"/>
                <w:kern w:val="0"/>
                <w:sz w:val="20"/>
                <w:szCs w:val="20"/>
              </w:rPr>
              <w:br w:type="textWrapping"/>
            </w:r>
            <w:r>
              <w:rPr>
                <w:rFonts w:hint="eastAsia" w:ascii="宋体" w:hAnsi="宋体" w:eastAsia="宋体" w:cs="宋体"/>
                <w:kern w:val="0"/>
                <w:sz w:val="20"/>
                <w:szCs w:val="20"/>
              </w:rPr>
              <w:t>□冷热源的位置宜设置于负荷中心，风冷多联式空调机组与分体空调室外散热机构应满足现行浙江省标准《绿色建筑设计标准》</w:t>
            </w:r>
            <w:r>
              <w:rPr>
                <w:rFonts w:ascii="宋体" w:hAnsi="宋体" w:eastAsia="宋体" w:cs="宋体"/>
                <w:kern w:val="0"/>
                <w:sz w:val="20"/>
                <w:szCs w:val="20"/>
              </w:rPr>
              <w:t>DB 33/1092的要求及产品自身的要求。</w:t>
            </w:r>
            <w:r>
              <w:rPr>
                <w:rFonts w:ascii="宋体" w:hAnsi="宋体" w:eastAsia="宋体" w:cs="宋体"/>
                <w:kern w:val="0"/>
                <w:sz w:val="20"/>
                <w:szCs w:val="20"/>
              </w:rPr>
              <w:br w:type="textWrapping"/>
            </w:r>
            <w:r>
              <w:rPr>
                <w:rFonts w:hint="eastAsia" w:ascii="宋体" w:hAnsi="宋体" w:eastAsia="宋体" w:cs="宋体"/>
                <w:kern w:val="0"/>
                <w:sz w:val="20"/>
                <w:szCs w:val="20"/>
              </w:rPr>
              <w:t>□冷热源</w:t>
            </w:r>
            <w:r>
              <w:rPr>
                <w:rFonts w:hint="eastAsia"/>
                <w:snapToGrid w:val="0"/>
                <w:kern w:val="0"/>
                <w:sz w:val="20"/>
                <w:szCs w:val="20"/>
              </w:rPr>
              <w:t>机组能效满足现行国家标准《建筑节能与可再生能源利用通用规范》</w:t>
            </w:r>
            <w:r>
              <w:rPr>
                <w:snapToGrid w:val="0"/>
                <w:kern w:val="0"/>
                <w:sz w:val="20"/>
                <w:szCs w:val="20"/>
              </w:rPr>
              <w:t>GB 55015</w:t>
            </w:r>
            <w:r>
              <w:rPr>
                <w:rFonts w:hint="eastAsia"/>
                <w:snapToGrid w:val="0"/>
                <w:kern w:val="0"/>
                <w:sz w:val="20"/>
                <w:szCs w:val="20"/>
              </w:rPr>
              <w:t>、</w:t>
            </w:r>
            <w:r>
              <w:rPr>
                <w:rFonts w:hint="eastAsia" w:cs="Arial"/>
                <w:snapToGrid w:val="0"/>
                <w:kern w:val="0"/>
                <w:sz w:val="20"/>
                <w:szCs w:val="20"/>
              </w:rPr>
              <w:t>现行浙江省标准</w:t>
            </w:r>
            <w:r>
              <w:rPr>
                <w:rFonts w:hint="eastAsia"/>
                <w:snapToGrid w:val="0"/>
                <w:kern w:val="0"/>
                <w:sz w:val="20"/>
                <w:szCs w:val="20"/>
              </w:rPr>
              <w:t>《公共建筑节能设计标准》</w:t>
            </w:r>
            <w:r>
              <w:rPr>
                <w:snapToGrid w:val="0"/>
                <w:kern w:val="0"/>
                <w:sz w:val="20"/>
                <w:szCs w:val="20"/>
              </w:rPr>
              <w:t>DB 33/1036</w:t>
            </w:r>
            <w:r>
              <w:rPr>
                <w:rFonts w:hint="eastAsia"/>
                <w:snapToGrid w:val="0"/>
                <w:kern w:val="0"/>
                <w:sz w:val="20"/>
                <w:szCs w:val="20"/>
              </w:rPr>
              <w:t>、《居住建筑节能设计标准》</w:t>
            </w:r>
            <w:r>
              <w:rPr>
                <w:snapToGrid w:val="0"/>
                <w:kern w:val="0"/>
                <w:sz w:val="20"/>
                <w:szCs w:val="20"/>
              </w:rPr>
              <w:t>DB33/1015</w:t>
            </w:r>
            <w:r>
              <w:rPr>
                <w:rFonts w:hint="eastAsia"/>
                <w:snapToGrid w:val="0"/>
                <w:kern w:val="0"/>
                <w:sz w:val="20"/>
                <w:szCs w:val="20"/>
              </w:rPr>
              <w:t>的规定；对于上述标准未明确的冷热源机组能效不低于国家现行有关标准</w:t>
            </w:r>
            <w:r>
              <w:rPr>
                <w:snapToGrid w:val="0"/>
                <w:kern w:val="0"/>
                <w:sz w:val="20"/>
                <w:szCs w:val="20"/>
              </w:rPr>
              <w:t>2</w:t>
            </w:r>
            <w:r>
              <w:rPr>
                <w:rFonts w:hint="eastAsia"/>
                <w:snapToGrid w:val="0"/>
                <w:kern w:val="0"/>
                <w:sz w:val="20"/>
                <w:szCs w:val="20"/>
              </w:rPr>
              <w:t>级能效的要求。</w:t>
            </w:r>
            <w:r>
              <w:rPr>
                <w:rFonts w:ascii="宋体" w:hAnsi="宋体" w:eastAsia="宋体" w:cs="宋体"/>
                <w:kern w:val="0"/>
                <w:sz w:val="20"/>
                <w:szCs w:val="20"/>
              </w:rPr>
              <w:br w:type="textWrapping"/>
            </w:r>
          </w:p>
        </w:tc>
        <w:tc>
          <w:tcPr>
            <w:tcW w:w="5670"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□空调冷热源形式符合项目特点，不采用电直接加热设备作为供暖和空气加湿热源</w:t>
            </w:r>
            <w:r>
              <w:rPr>
                <w:rFonts w:ascii="宋体" w:hAnsi="宋体" w:eastAsia="宋体" w:cs="宋体"/>
                <w:kern w:val="0"/>
                <w:sz w:val="20"/>
                <w:szCs w:val="20"/>
              </w:rPr>
              <w:br w:type="textWrapping"/>
            </w:r>
            <w:r>
              <w:rPr>
                <w:rFonts w:hint="eastAsia" w:ascii="宋体" w:hAnsi="宋体" w:eastAsia="宋体" w:cs="宋体"/>
                <w:kern w:val="0"/>
                <w:sz w:val="20"/>
                <w:szCs w:val="20"/>
              </w:rPr>
              <w:t>□空调冷热源设备的总装机容量合理，电动压缩式冷水机组的规格不符合计算冷负荷的要求时，所选择机组的总装机容量与计算冷负荷的比值不大于</w:t>
            </w:r>
            <w:r>
              <w:rPr>
                <w:rFonts w:ascii="宋体" w:hAnsi="宋体" w:eastAsia="宋体" w:cs="宋体"/>
                <w:kern w:val="0"/>
                <w:sz w:val="20"/>
                <w:szCs w:val="20"/>
              </w:rPr>
              <w:t>1.1</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□空调冷热源设计能满足部分负荷运行要求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□空调制冷系统所用制冷剂应在安全的基础上选用环境友好的制冷剂</w:t>
            </w:r>
            <w:r>
              <w:rPr>
                <w:rFonts w:ascii="宋体" w:hAnsi="宋体" w:eastAsia="宋体" w:cs="宋体"/>
                <w:kern w:val="0"/>
                <w:sz w:val="20"/>
                <w:szCs w:val="20"/>
              </w:rPr>
              <w:br w:type="textWrapping"/>
            </w:r>
            <w:r>
              <w:rPr>
                <w:rFonts w:hint="eastAsia" w:ascii="宋体" w:hAnsi="宋体" w:eastAsia="宋体" w:cs="宋体"/>
                <w:kern w:val="0"/>
                <w:sz w:val="20"/>
                <w:szCs w:val="20"/>
              </w:rPr>
              <w:t>□冷热源的位置宜设置于负荷中心，风冷多联式空调机组与分体空调室外散热机构应满足现行浙江省标准《绿色建筑设计标准》</w:t>
            </w:r>
            <w:r>
              <w:rPr>
                <w:rFonts w:ascii="宋体" w:hAnsi="宋体" w:eastAsia="宋体" w:cs="宋体"/>
                <w:kern w:val="0"/>
                <w:sz w:val="20"/>
                <w:szCs w:val="20"/>
              </w:rPr>
              <w:t>DB 33/1092的要求及产品自身的要求。</w:t>
            </w:r>
            <w:r>
              <w:rPr>
                <w:rFonts w:ascii="宋体" w:hAnsi="宋体" w:eastAsia="宋体" w:cs="宋体"/>
                <w:kern w:val="0"/>
                <w:sz w:val="20"/>
                <w:szCs w:val="20"/>
              </w:rPr>
              <w:br w:type="textWrapping"/>
            </w:r>
            <w:r>
              <w:rPr>
                <w:rFonts w:hint="eastAsia" w:ascii="宋体" w:hAnsi="宋体" w:eastAsia="宋体" w:cs="宋体"/>
                <w:kern w:val="0"/>
                <w:sz w:val="20"/>
                <w:szCs w:val="20"/>
              </w:rPr>
              <w:t>□电机驱动的蒸气压缩循环冷水（热泵）机组，名义制冷量大于</w:t>
            </w:r>
            <w:r>
              <w:rPr>
                <w:rFonts w:ascii="宋体" w:hAnsi="宋体" w:eastAsia="宋体" w:cs="宋体"/>
                <w:kern w:val="0"/>
                <w:sz w:val="20"/>
                <w:szCs w:val="20"/>
              </w:rPr>
              <w:t>7100W的单元式空气调节机、风管送风式和屋顶式空调机组，其名义制冷工况和规定条件下能效指标比现行国家标准《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规定值提高</w:t>
            </w:r>
            <w:r>
              <w:rPr>
                <w:rFonts w:ascii="宋体" w:hAnsi="宋体" w:eastAsia="宋体" w:cs="宋体"/>
                <w:kern w:val="0"/>
                <w:sz w:val="20"/>
                <w:szCs w:val="20"/>
              </w:rPr>
              <w:t>6%且</w:t>
            </w:r>
            <w:r>
              <w:rPr>
                <w:rFonts w:hint="eastAsia"/>
                <w:snapToGrid w:val="0"/>
                <w:kern w:val="0"/>
                <w:sz w:val="20"/>
                <w:szCs w:val="20"/>
              </w:rPr>
              <w:t>不低于国家现行有关标准</w:t>
            </w:r>
            <w:r>
              <w:rPr>
                <w:snapToGrid w:val="0"/>
                <w:kern w:val="0"/>
                <w:sz w:val="20"/>
                <w:szCs w:val="20"/>
              </w:rPr>
              <w:t>2</w:t>
            </w:r>
            <w:r>
              <w:rPr>
                <w:rFonts w:hint="eastAsia"/>
                <w:snapToGrid w:val="0"/>
                <w:kern w:val="0"/>
                <w:sz w:val="20"/>
                <w:szCs w:val="20"/>
              </w:rPr>
              <w:t>级能效的要求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□多联式空调（热泵）机组，其名义制冷工况和规定条件下能效指标比现行国家标准《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规定值提高</w:t>
            </w:r>
            <w:r>
              <w:rPr>
                <w:rFonts w:ascii="宋体" w:hAnsi="宋体" w:eastAsia="宋体" w:cs="宋体"/>
                <w:kern w:val="0"/>
                <w:sz w:val="20"/>
                <w:szCs w:val="20"/>
              </w:rPr>
              <w:t>8%且</w:t>
            </w:r>
            <w:r>
              <w:rPr>
                <w:rFonts w:hint="eastAsia"/>
                <w:snapToGrid w:val="0"/>
                <w:kern w:val="0"/>
                <w:sz w:val="20"/>
                <w:szCs w:val="20"/>
              </w:rPr>
              <w:t>不低于国家现行有关标准</w:t>
            </w:r>
            <w:r>
              <w:rPr>
                <w:snapToGrid w:val="0"/>
                <w:kern w:val="0"/>
                <w:sz w:val="20"/>
                <w:szCs w:val="20"/>
              </w:rPr>
              <w:t>2</w:t>
            </w:r>
            <w:r>
              <w:rPr>
                <w:rFonts w:hint="eastAsia"/>
                <w:snapToGrid w:val="0"/>
                <w:kern w:val="0"/>
                <w:sz w:val="20"/>
                <w:szCs w:val="20"/>
              </w:rPr>
              <w:t>级能效的要求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□燃油和燃气锅炉规定条件下热效率比现行国家标准《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规定值的提高</w:t>
            </w:r>
            <w:r>
              <w:rPr>
                <w:rFonts w:ascii="宋体" w:hAnsi="宋体" w:eastAsia="宋体" w:cs="宋体"/>
                <w:kern w:val="0"/>
                <w:sz w:val="20"/>
                <w:szCs w:val="20"/>
              </w:rPr>
              <w:t>2个百分点且</w:t>
            </w:r>
            <w:r>
              <w:rPr>
                <w:rFonts w:hint="eastAsia"/>
                <w:snapToGrid w:val="0"/>
                <w:kern w:val="0"/>
                <w:sz w:val="20"/>
                <w:szCs w:val="20"/>
              </w:rPr>
              <w:t>不低于国家现行有关标准</w:t>
            </w:r>
            <w:r>
              <w:rPr>
                <w:snapToGrid w:val="0"/>
                <w:kern w:val="0"/>
                <w:sz w:val="20"/>
                <w:szCs w:val="20"/>
              </w:rPr>
              <w:t>2</w:t>
            </w:r>
            <w:r>
              <w:rPr>
                <w:rFonts w:hint="eastAsia"/>
                <w:snapToGrid w:val="0"/>
                <w:kern w:val="0"/>
                <w:sz w:val="20"/>
                <w:szCs w:val="20"/>
              </w:rPr>
              <w:t>级能效的要求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□直燃型溴化锂吸收式冷（温）水机组规定条件下制冷、供热性能系数比现行国家标准《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规定值提高</w:t>
            </w:r>
            <w:r>
              <w:rPr>
                <w:rFonts w:ascii="宋体" w:hAnsi="宋体" w:eastAsia="宋体" w:cs="宋体"/>
                <w:kern w:val="0"/>
                <w:sz w:val="20"/>
                <w:szCs w:val="20"/>
              </w:rPr>
              <w:t>6%且</w:t>
            </w:r>
            <w:r>
              <w:rPr>
                <w:rFonts w:hint="eastAsia"/>
                <w:snapToGrid w:val="0"/>
                <w:kern w:val="0"/>
                <w:sz w:val="20"/>
                <w:szCs w:val="20"/>
              </w:rPr>
              <w:t>不低于国家现行有关标准</w:t>
            </w:r>
            <w:r>
              <w:rPr>
                <w:snapToGrid w:val="0"/>
                <w:kern w:val="0"/>
                <w:sz w:val="20"/>
                <w:szCs w:val="20"/>
              </w:rPr>
              <w:t>2</w:t>
            </w:r>
            <w:r>
              <w:rPr>
                <w:rFonts w:hint="eastAsia"/>
                <w:snapToGrid w:val="0"/>
                <w:kern w:val="0"/>
                <w:sz w:val="20"/>
                <w:szCs w:val="20"/>
              </w:rPr>
              <w:t>级能效的要求</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□房间空气调节器能效等级不低于国家标准《房间空气调节器能效限定值及能效等级》</w:t>
            </w:r>
            <w:r>
              <w:rPr>
                <w:rFonts w:ascii="宋体" w:hAnsi="宋体" w:eastAsia="宋体" w:cs="宋体"/>
                <w:kern w:val="0"/>
                <w:sz w:val="20"/>
                <w:szCs w:val="20"/>
              </w:rPr>
              <w:t>GB 21445中2级的要求；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□对于现行国家标准《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未明确的冷热源机组能效不低于国家现行有关标准</w:t>
            </w:r>
            <w:r>
              <w:rPr>
                <w:rFonts w:ascii="宋体" w:hAnsi="宋体" w:eastAsia="宋体" w:cs="宋体"/>
                <w:kern w:val="0"/>
                <w:sz w:val="20"/>
                <w:szCs w:val="20"/>
              </w:rPr>
              <w:t>2级能效的要求。</w:t>
            </w:r>
          </w:p>
        </w:tc>
        <w:tc>
          <w:tcPr>
            <w:tcW w:w="5386"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□空调冷热源形式符合项目特点，不采用电直接加热设备作为供暖和空气加湿热源</w:t>
            </w:r>
            <w:r>
              <w:rPr>
                <w:rFonts w:ascii="宋体" w:hAnsi="宋体" w:eastAsia="宋体" w:cs="宋体"/>
                <w:kern w:val="0"/>
                <w:sz w:val="20"/>
                <w:szCs w:val="20"/>
              </w:rPr>
              <w:br w:type="textWrapping"/>
            </w:r>
            <w:r>
              <w:rPr>
                <w:rFonts w:hint="eastAsia" w:ascii="宋体" w:hAnsi="宋体" w:eastAsia="宋体" w:cs="宋体"/>
                <w:kern w:val="0"/>
                <w:sz w:val="20"/>
                <w:szCs w:val="20"/>
              </w:rPr>
              <w:t>□空调冷热源设备的总装机容量合理，电动压缩式冷水机组的规格不符合计算冷负荷的要求时，所选择机组的总装机容量与计算冷负荷的比值不大于</w:t>
            </w:r>
            <w:r>
              <w:rPr>
                <w:rFonts w:ascii="宋体" w:hAnsi="宋体" w:eastAsia="宋体" w:cs="宋体"/>
                <w:kern w:val="0"/>
                <w:sz w:val="20"/>
                <w:szCs w:val="20"/>
              </w:rPr>
              <w:t>1.1</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□空调冷热源设计能满足部分负荷运行要求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□空调制冷系统所用制冷剂应在安全的基础上选用环境友好的制冷剂</w:t>
            </w:r>
            <w:r>
              <w:rPr>
                <w:rFonts w:ascii="宋体" w:hAnsi="宋体" w:eastAsia="宋体" w:cs="宋体"/>
                <w:kern w:val="0"/>
                <w:sz w:val="20"/>
                <w:szCs w:val="20"/>
              </w:rPr>
              <w:br w:type="textWrapping"/>
            </w:r>
            <w:r>
              <w:rPr>
                <w:rFonts w:hint="eastAsia" w:ascii="宋体" w:hAnsi="宋体" w:eastAsia="宋体" w:cs="宋体"/>
                <w:kern w:val="0"/>
                <w:sz w:val="20"/>
                <w:szCs w:val="20"/>
              </w:rPr>
              <w:t>□冷热源的位置宜设置于负荷中心，风冷多联式空调机组与分体空调室外散热机构应满足现行浙江省标准《绿色建筑设计标准》</w:t>
            </w:r>
            <w:r>
              <w:rPr>
                <w:rFonts w:ascii="宋体" w:hAnsi="宋体" w:eastAsia="宋体" w:cs="宋体"/>
                <w:kern w:val="0"/>
                <w:sz w:val="20"/>
                <w:szCs w:val="20"/>
              </w:rPr>
              <w:t>DB 33/1092的要求及产品自身的要求。</w:t>
            </w:r>
            <w:r>
              <w:rPr>
                <w:rFonts w:ascii="宋体" w:hAnsi="宋体" w:eastAsia="宋体" w:cs="宋体"/>
                <w:kern w:val="0"/>
                <w:sz w:val="20"/>
                <w:szCs w:val="20"/>
              </w:rPr>
              <w:br w:type="textWrapping"/>
            </w:r>
            <w:r>
              <w:rPr>
                <w:rFonts w:hint="eastAsia" w:ascii="宋体" w:hAnsi="宋体" w:eastAsia="宋体" w:cs="宋体"/>
                <w:kern w:val="0"/>
                <w:sz w:val="20"/>
                <w:szCs w:val="20"/>
              </w:rPr>
              <w:t>□电机驱动的蒸气压缩循环冷水（热泵）机组，名义制冷量大于</w:t>
            </w:r>
            <w:r>
              <w:rPr>
                <w:rFonts w:ascii="宋体" w:hAnsi="宋体" w:eastAsia="宋体" w:cs="宋体"/>
                <w:kern w:val="0"/>
                <w:sz w:val="20"/>
                <w:szCs w:val="20"/>
              </w:rPr>
              <w:t>7100W的单元式空气调节机、风管送风式和屋顶式空调机组，其名义制冷工况和规定条件下能效指标比现行国家标准《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规定值提高</w:t>
            </w:r>
            <w:r>
              <w:rPr>
                <w:rFonts w:ascii="宋体" w:hAnsi="宋体" w:eastAsia="宋体" w:cs="宋体"/>
                <w:kern w:val="0"/>
                <w:sz w:val="20"/>
                <w:szCs w:val="20"/>
              </w:rPr>
              <w:t>12%且</w:t>
            </w:r>
            <w:r>
              <w:rPr>
                <w:rFonts w:hint="eastAsia"/>
                <w:snapToGrid w:val="0"/>
                <w:kern w:val="0"/>
                <w:sz w:val="20"/>
                <w:szCs w:val="20"/>
              </w:rPr>
              <w:t>不低于国家现行有关标准</w:t>
            </w:r>
            <w:r>
              <w:rPr>
                <w:snapToGrid w:val="0"/>
                <w:kern w:val="0"/>
                <w:sz w:val="20"/>
                <w:szCs w:val="20"/>
              </w:rPr>
              <w:t>1</w:t>
            </w:r>
            <w:r>
              <w:rPr>
                <w:rFonts w:hint="eastAsia"/>
                <w:snapToGrid w:val="0"/>
                <w:kern w:val="0"/>
                <w:sz w:val="20"/>
                <w:szCs w:val="20"/>
              </w:rPr>
              <w:t>级能效的要求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□多联式空调（热泵）机组，其名义制冷工况和规定条件下能效指标比现行国家标准《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规定值提高</w:t>
            </w:r>
            <w:r>
              <w:rPr>
                <w:rFonts w:ascii="宋体" w:hAnsi="宋体" w:eastAsia="宋体" w:cs="宋体"/>
                <w:kern w:val="0"/>
                <w:sz w:val="20"/>
                <w:szCs w:val="20"/>
              </w:rPr>
              <w:t>16%且</w:t>
            </w:r>
            <w:r>
              <w:rPr>
                <w:rFonts w:hint="eastAsia"/>
                <w:snapToGrid w:val="0"/>
                <w:kern w:val="0"/>
                <w:sz w:val="20"/>
                <w:szCs w:val="20"/>
              </w:rPr>
              <w:t>不低于国家现行有关标准</w:t>
            </w:r>
            <w:r>
              <w:rPr>
                <w:snapToGrid w:val="0"/>
                <w:kern w:val="0"/>
                <w:sz w:val="20"/>
                <w:szCs w:val="20"/>
              </w:rPr>
              <w:t>1</w:t>
            </w:r>
            <w:r>
              <w:rPr>
                <w:rFonts w:hint="eastAsia"/>
                <w:snapToGrid w:val="0"/>
                <w:kern w:val="0"/>
                <w:sz w:val="20"/>
                <w:szCs w:val="20"/>
              </w:rPr>
              <w:t>级能效的要求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□燃油和燃气锅炉规定条件下热效率比现行国家标准《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规定值的提高</w:t>
            </w:r>
            <w:r>
              <w:rPr>
                <w:rFonts w:ascii="宋体" w:hAnsi="宋体" w:eastAsia="宋体" w:cs="宋体"/>
                <w:kern w:val="0"/>
                <w:sz w:val="20"/>
                <w:szCs w:val="20"/>
              </w:rPr>
              <w:t>4</w:t>
            </w:r>
            <w:r>
              <w:rPr>
                <w:rFonts w:hint="eastAsia" w:ascii="宋体" w:hAnsi="宋体" w:eastAsia="宋体" w:cs="宋体"/>
                <w:kern w:val="0"/>
                <w:sz w:val="20"/>
                <w:szCs w:val="20"/>
              </w:rPr>
              <w:t>个百分点且</w:t>
            </w:r>
            <w:r>
              <w:rPr>
                <w:rFonts w:hint="eastAsia"/>
                <w:snapToGrid w:val="0"/>
                <w:kern w:val="0"/>
                <w:sz w:val="20"/>
                <w:szCs w:val="20"/>
              </w:rPr>
              <w:t>不低于国家现行有关标准</w:t>
            </w:r>
            <w:r>
              <w:rPr>
                <w:snapToGrid w:val="0"/>
                <w:kern w:val="0"/>
                <w:sz w:val="20"/>
                <w:szCs w:val="20"/>
              </w:rPr>
              <w:t>1</w:t>
            </w:r>
            <w:r>
              <w:rPr>
                <w:rFonts w:hint="eastAsia"/>
                <w:snapToGrid w:val="0"/>
                <w:kern w:val="0"/>
                <w:sz w:val="20"/>
                <w:szCs w:val="20"/>
              </w:rPr>
              <w:t>级能效的要求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□直燃型溴化锂吸收式冷（温）水机组规定条件下制冷、供热性能系数比现行国家标准《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规定值提高</w:t>
            </w:r>
            <w:r>
              <w:rPr>
                <w:rFonts w:ascii="宋体" w:hAnsi="宋体" w:eastAsia="宋体" w:cs="宋体"/>
                <w:kern w:val="0"/>
                <w:sz w:val="20"/>
                <w:szCs w:val="20"/>
              </w:rPr>
              <w:t>12%且</w:t>
            </w:r>
            <w:r>
              <w:rPr>
                <w:rFonts w:hint="eastAsia"/>
                <w:snapToGrid w:val="0"/>
                <w:kern w:val="0"/>
                <w:sz w:val="20"/>
                <w:szCs w:val="20"/>
              </w:rPr>
              <w:t>不低于国家现行有关标准</w:t>
            </w:r>
            <w:r>
              <w:rPr>
                <w:snapToGrid w:val="0"/>
                <w:kern w:val="0"/>
                <w:sz w:val="20"/>
                <w:szCs w:val="20"/>
              </w:rPr>
              <w:t>1</w:t>
            </w:r>
            <w:r>
              <w:rPr>
                <w:rFonts w:hint="eastAsia"/>
                <w:snapToGrid w:val="0"/>
                <w:kern w:val="0"/>
                <w:sz w:val="20"/>
                <w:szCs w:val="20"/>
              </w:rPr>
              <w:t>级能效的要求</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□房间空气调节器能效等级不低于国家标准《房间空气调节器能效限定值及能效等级》</w:t>
            </w:r>
            <w:r>
              <w:rPr>
                <w:rFonts w:ascii="宋体" w:hAnsi="宋体" w:eastAsia="宋体" w:cs="宋体"/>
                <w:kern w:val="0"/>
                <w:sz w:val="20"/>
                <w:szCs w:val="20"/>
              </w:rPr>
              <w:t>GB 21445中1</w:t>
            </w:r>
            <w:r>
              <w:rPr>
                <w:rFonts w:hint="eastAsia" w:ascii="宋体" w:hAnsi="宋体" w:eastAsia="宋体" w:cs="宋体"/>
                <w:kern w:val="0"/>
                <w:sz w:val="20"/>
                <w:szCs w:val="20"/>
              </w:rPr>
              <w:t>级的要求；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□对于现行国家标准《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未明确的冷热源机组能效不低于国家现行有关标准</w:t>
            </w:r>
            <w:r>
              <w:rPr>
                <w:rFonts w:ascii="宋体" w:hAnsi="宋体" w:eastAsia="宋体" w:cs="宋体"/>
                <w:kern w:val="0"/>
                <w:sz w:val="20"/>
                <w:szCs w:val="20"/>
              </w:rPr>
              <w:t>1</w:t>
            </w:r>
            <w:r>
              <w:rPr>
                <w:rFonts w:hint="eastAsia" w:ascii="宋体" w:hAnsi="宋体" w:eastAsia="宋体" w:cs="宋体"/>
                <w:kern w:val="0"/>
                <w:sz w:val="20"/>
                <w:szCs w:val="20"/>
              </w:rPr>
              <w:t>级能效的要求。</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冷热源形式、冷热源配置总容量</w:t>
            </w:r>
          </w:p>
        </w:tc>
        <w:tc>
          <w:tcPr>
            <w:tcW w:w="3261" w:type="dxa"/>
            <w:vMerge w:val="continue"/>
            <w:vAlign w:val="center"/>
          </w:tcPr>
          <w:p>
            <w:pPr>
              <w:widowControl/>
              <w:jc w:val="left"/>
              <w:rPr>
                <w:rFonts w:ascii="宋体" w:hAnsi="宋体" w:eastAsia="宋体" w:cs="宋体"/>
                <w:kern w:val="0"/>
                <w:sz w:val="20"/>
                <w:szCs w:val="20"/>
              </w:rPr>
            </w:pPr>
          </w:p>
        </w:tc>
        <w:tc>
          <w:tcPr>
            <w:tcW w:w="5670" w:type="dxa"/>
            <w:vMerge w:val="continue"/>
            <w:vAlign w:val="center"/>
          </w:tcPr>
          <w:p>
            <w:pPr>
              <w:widowControl/>
              <w:jc w:val="left"/>
              <w:rPr>
                <w:rFonts w:ascii="宋体" w:hAnsi="宋体" w:eastAsia="宋体" w:cs="宋体"/>
                <w:kern w:val="0"/>
                <w:sz w:val="20"/>
                <w:szCs w:val="20"/>
              </w:rPr>
            </w:pPr>
          </w:p>
        </w:tc>
        <w:tc>
          <w:tcPr>
            <w:tcW w:w="5386"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环境友好的制冷剂</w:t>
            </w:r>
          </w:p>
        </w:tc>
        <w:tc>
          <w:tcPr>
            <w:tcW w:w="3261" w:type="dxa"/>
            <w:vMerge w:val="continue"/>
            <w:vAlign w:val="center"/>
          </w:tcPr>
          <w:p>
            <w:pPr>
              <w:widowControl/>
              <w:jc w:val="left"/>
              <w:rPr>
                <w:rFonts w:ascii="宋体" w:hAnsi="宋体" w:eastAsia="宋体" w:cs="宋体"/>
                <w:kern w:val="0"/>
                <w:sz w:val="20"/>
                <w:szCs w:val="20"/>
              </w:rPr>
            </w:pPr>
          </w:p>
        </w:tc>
        <w:tc>
          <w:tcPr>
            <w:tcW w:w="5670" w:type="dxa"/>
            <w:vMerge w:val="continue"/>
            <w:vAlign w:val="center"/>
          </w:tcPr>
          <w:p>
            <w:pPr>
              <w:widowControl/>
              <w:jc w:val="left"/>
              <w:rPr>
                <w:rFonts w:ascii="宋体" w:hAnsi="宋体" w:eastAsia="宋体" w:cs="宋体"/>
                <w:kern w:val="0"/>
                <w:sz w:val="20"/>
                <w:szCs w:val="20"/>
              </w:rPr>
            </w:pPr>
          </w:p>
        </w:tc>
        <w:tc>
          <w:tcPr>
            <w:tcW w:w="5386"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rPr>
                <w:rFonts w:ascii="宋体" w:hAnsi="宋体" w:eastAsia="宋体" w:cs="宋体"/>
                <w:kern w:val="0"/>
                <w:sz w:val="20"/>
                <w:szCs w:val="20"/>
              </w:rPr>
            </w:pPr>
            <w:r>
              <w:rPr>
                <w:rFonts w:hint="eastAsia"/>
                <w:sz w:val="20"/>
                <w:szCs w:val="20"/>
              </w:rPr>
              <w:t>冷热源的位置、冷源的散热条件描述</w:t>
            </w:r>
          </w:p>
        </w:tc>
        <w:tc>
          <w:tcPr>
            <w:tcW w:w="3261" w:type="dxa"/>
            <w:vMerge w:val="continue"/>
            <w:vAlign w:val="center"/>
          </w:tcPr>
          <w:p>
            <w:pPr>
              <w:widowControl/>
              <w:jc w:val="left"/>
              <w:rPr>
                <w:rFonts w:ascii="宋体" w:hAnsi="宋体" w:eastAsia="宋体" w:cs="宋体"/>
                <w:kern w:val="0"/>
                <w:sz w:val="20"/>
                <w:szCs w:val="20"/>
              </w:rPr>
            </w:pPr>
          </w:p>
        </w:tc>
        <w:tc>
          <w:tcPr>
            <w:tcW w:w="5670" w:type="dxa"/>
            <w:vMerge w:val="continue"/>
            <w:vAlign w:val="center"/>
          </w:tcPr>
          <w:p>
            <w:pPr>
              <w:widowControl/>
              <w:jc w:val="left"/>
              <w:rPr>
                <w:rFonts w:ascii="宋体" w:hAnsi="宋体" w:eastAsia="宋体" w:cs="宋体"/>
                <w:kern w:val="0"/>
                <w:sz w:val="20"/>
                <w:szCs w:val="20"/>
              </w:rPr>
            </w:pPr>
          </w:p>
        </w:tc>
        <w:tc>
          <w:tcPr>
            <w:tcW w:w="5386"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rPr>
                <w:rFonts w:ascii="宋体" w:hAnsi="宋体" w:eastAsia="宋体" w:cs="宋体"/>
                <w:kern w:val="0"/>
                <w:sz w:val="20"/>
                <w:szCs w:val="20"/>
              </w:rPr>
            </w:pPr>
            <w:r>
              <w:rPr>
                <w:rFonts w:hint="eastAsia"/>
                <w:sz w:val="20"/>
                <w:szCs w:val="20"/>
              </w:rPr>
              <w:t>冷热源效率</w:t>
            </w:r>
          </w:p>
        </w:tc>
        <w:tc>
          <w:tcPr>
            <w:tcW w:w="3261" w:type="dxa"/>
            <w:vMerge w:val="continue"/>
            <w:vAlign w:val="center"/>
          </w:tcPr>
          <w:p>
            <w:pPr>
              <w:widowControl/>
              <w:jc w:val="left"/>
              <w:rPr>
                <w:rFonts w:ascii="宋体" w:hAnsi="宋体" w:eastAsia="宋体" w:cs="宋体"/>
                <w:kern w:val="0"/>
                <w:sz w:val="20"/>
                <w:szCs w:val="20"/>
              </w:rPr>
            </w:pPr>
          </w:p>
        </w:tc>
        <w:tc>
          <w:tcPr>
            <w:tcW w:w="5670" w:type="dxa"/>
            <w:vMerge w:val="continue"/>
            <w:vAlign w:val="center"/>
          </w:tcPr>
          <w:p>
            <w:pPr>
              <w:widowControl/>
              <w:jc w:val="left"/>
              <w:rPr>
                <w:rFonts w:ascii="宋体" w:hAnsi="宋体" w:eastAsia="宋体" w:cs="宋体"/>
                <w:kern w:val="0"/>
                <w:sz w:val="20"/>
                <w:szCs w:val="20"/>
              </w:rPr>
            </w:pPr>
          </w:p>
        </w:tc>
        <w:tc>
          <w:tcPr>
            <w:tcW w:w="5386"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冷热源的相关计量</w:t>
            </w:r>
          </w:p>
        </w:tc>
        <w:tc>
          <w:tcPr>
            <w:tcW w:w="3261" w:type="dxa"/>
            <w:vMerge w:val="continue"/>
            <w:vAlign w:val="center"/>
          </w:tcPr>
          <w:p>
            <w:pPr>
              <w:widowControl/>
              <w:jc w:val="left"/>
              <w:rPr>
                <w:rFonts w:ascii="宋体" w:hAnsi="宋体" w:eastAsia="宋体" w:cs="宋体"/>
                <w:kern w:val="0"/>
                <w:sz w:val="20"/>
                <w:szCs w:val="20"/>
              </w:rPr>
            </w:pPr>
          </w:p>
        </w:tc>
        <w:tc>
          <w:tcPr>
            <w:tcW w:w="5670" w:type="dxa"/>
            <w:vMerge w:val="continue"/>
            <w:vAlign w:val="center"/>
          </w:tcPr>
          <w:p>
            <w:pPr>
              <w:widowControl/>
              <w:jc w:val="left"/>
              <w:rPr>
                <w:rFonts w:ascii="宋体" w:hAnsi="宋体" w:eastAsia="宋体" w:cs="宋体"/>
                <w:kern w:val="0"/>
                <w:sz w:val="20"/>
                <w:szCs w:val="20"/>
              </w:rPr>
            </w:pPr>
          </w:p>
        </w:tc>
        <w:tc>
          <w:tcPr>
            <w:tcW w:w="5386"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08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097"/>
        <w:gridCol w:w="4536"/>
        <w:gridCol w:w="4820"/>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blHeader/>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820"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暖通空调用能设备系统</w:t>
            </w: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水输配系统</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水系统的形式</w:t>
            </w:r>
          </w:p>
        </w:tc>
        <w:tc>
          <w:tcPr>
            <w:tcW w:w="4536"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□空调水输配系统形式符合项目特点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□空调水输配系统设计能满足部分负荷运行要求</w:t>
            </w:r>
            <w:r>
              <w:rPr>
                <w:rFonts w:ascii="宋体" w:hAnsi="宋体" w:eastAsia="宋体" w:cs="宋体"/>
                <w:kern w:val="0"/>
                <w:sz w:val="20"/>
                <w:szCs w:val="20"/>
              </w:rPr>
              <w:br w:type="textWrapping"/>
            </w:r>
            <w:r>
              <w:rPr>
                <w:rFonts w:hint="eastAsia" w:ascii="宋体" w:hAnsi="宋体" w:eastAsia="宋体" w:cs="宋体"/>
                <w:kern w:val="0"/>
                <w:sz w:val="20"/>
                <w:szCs w:val="20"/>
              </w:rPr>
              <w:t>□空调水输配系统供回水温度与温差的选取合理</w:t>
            </w:r>
            <w:r>
              <w:rPr>
                <w:rFonts w:ascii="宋体" w:hAnsi="宋体" w:eastAsia="宋体" w:cs="宋体"/>
                <w:kern w:val="0"/>
                <w:sz w:val="20"/>
                <w:szCs w:val="20"/>
              </w:rPr>
              <w:br w:type="textWrapping"/>
            </w:r>
            <w:r>
              <w:rPr>
                <w:rFonts w:hint="eastAsia" w:ascii="宋体" w:hAnsi="宋体" w:eastAsia="宋体" w:cs="宋体"/>
                <w:kern w:val="0"/>
                <w:sz w:val="20"/>
                <w:szCs w:val="20"/>
              </w:rPr>
              <w:t>□空调冷热水均采用闭式循环水系统</w:t>
            </w:r>
            <w:r>
              <w:rPr>
                <w:rFonts w:ascii="宋体" w:hAnsi="宋体" w:eastAsia="宋体" w:cs="宋体"/>
                <w:kern w:val="0"/>
                <w:sz w:val="20"/>
                <w:szCs w:val="20"/>
              </w:rPr>
              <w:br w:type="textWrapping"/>
            </w:r>
            <w:r>
              <w:rPr>
                <w:rFonts w:hint="eastAsia" w:ascii="宋体" w:hAnsi="宋体" w:eastAsia="宋体" w:cs="宋体"/>
                <w:kern w:val="0"/>
                <w:sz w:val="20"/>
                <w:szCs w:val="20"/>
              </w:rPr>
              <w:t>□一级泵系统的单台水泵功率大于</w:t>
            </w:r>
            <w:r>
              <w:rPr>
                <w:rFonts w:ascii="宋体" w:hAnsi="宋体" w:eastAsia="宋体" w:cs="宋体"/>
                <w:kern w:val="0"/>
                <w:sz w:val="20"/>
                <w:szCs w:val="20"/>
              </w:rPr>
              <w:t>30kW时，水泵采用变速变流量调节方式</w:t>
            </w:r>
            <w:r>
              <w:rPr>
                <w:rFonts w:ascii="宋体" w:hAnsi="宋体" w:eastAsia="宋体" w:cs="宋体"/>
                <w:kern w:val="0"/>
                <w:sz w:val="20"/>
                <w:szCs w:val="20"/>
              </w:rPr>
              <w:br w:type="textWrapping"/>
            </w:r>
            <w:r>
              <w:rPr>
                <w:rFonts w:hint="eastAsia" w:ascii="宋体" w:hAnsi="宋体" w:eastAsia="宋体" w:cs="宋体"/>
                <w:kern w:val="0"/>
                <w:sz w:val="20"/>
                <w:szCs w:val="20"/>
              </w:rPr>
              <w:t>□采用换热器加热或冷却的二次空调水系统的循环水泵采用变速变流量调节方式</w:t>
            </w:r>
            <w:r>
              <w:rPr>
                <w:rFonts w:ascii="宋体" w:hAnsi="宋体" w:eastAsia="宋体" w:cs="宋体"/>
                <w:kern w:val="0"/>
                <w:sz w:val="20"/>
                <w:szCs w:val="20"/>
              </w:rPr>
              <w:br w:type="textWrapping"/>
            </w:r>
            <w:r>
              <w:rPr>
                <w:rFonts w:hint="eastAsia" w:ascii="宋体" w:hAnsi="宋体" w:eastAsia="宋体" w:cs="宋体"/>
                <w:kern w:val="0"/>
                <w:sz w:val="20"/>
                <w:szCs w:val="20"/>
              </w:rPr>
              <w:t>□除空调冷水系统和空调热水系统的设计流量、管网阻力特性及水泵工作特性相近的情况，两管制空调水系统分贝设置冷水和热水循环泵</w:t>
            </w:r>
            <w:r>
              <w:rPr>
                <w:rFonts w:ascii="宋体" w:hAnsi="宋体" w:eastAsia="宋体" w:cs="宋体"/>
                <w:kern w:val="0"/>
                <w:sz w:val="20"/>
                <w:szCs w:val="20"/>
              </w:rPr>
              <w:br w:type="textWrapping"/>
            </w:r>
            <w:r>
              <w:rPr>
                <w:rFonts w:hint="eastAsia" w:ascii="宋体" w:hAnsi="宋体" w:eastAsia="宋体" w:cs="宋体"/>
                <w:kern w:val="0"/>
                <w:sz w:val="20"/>
                <w:szCs w:val="20"/>
              </w:rPr>
              <w:t>□集中供暖系统应采用热水作为热媒</w:t>
            </w:r>
            <w:r>
              <w:rPr>
                <w:rFonts w:ascii="宋体" w:hAnsi="宋体" w:eastAsia="宋体" w:cs="宋体"/>
                <w:kern w:val="0"/>
                <w:sz w:val="20"/>
                <w:szCs w:val="20"/>
              </w:rPr>
              <w:br w:type="textWrapping"/>
            </w:r>
            <w:r>
              <w:rPr>
                <w:rFonts w:hint="eastAsia" w:ascii="宋体" w:hAnsi="宋体" w:eastAsia="宋体" w:cs="宋体"/>
                <w:kern w:val="0"/>
                <w:sz w:val="20"/>
                <w:szCs w:val="20"/>
              </w:rPr>
              <w:t>□在过渡季与冬季供冷工况时，利用冷却塔、地表水等提供空气调节的冷水。</w:t>
            </w:r>
            <w:r>
              <w:rPr>
                <w:rFonts w:ascii="宋体" w:hAnsi="宋体" w:eastAsia="宋体" w:cs="宋体"/>
                <w:kern w:val="0"/>
                <w:sz w:val="20"/>
                <w:szCs w:val="20"/>
              </w:rPr>
              <w:br w:type="textWrapping"/>
            </w:r>
            <w:r>
              <w:rPr>
                <w:rFonts w:hint="eastAsia" w:ascii="宋体" w:hAnsi="宋体" w:eastAsia="宋体" w:cs="宋体"/>
                <w:kern w:val="0"/>
                <w:sz w:val="20"/>
                <w:szCs w:val="20"/>
              </w:rPr>
              <w:t>□循环冷却水系统及空调冷、热水系统设置水处理设施</w:t>
            </w:r>
          </w:p>
          <w:p>
            <w:pPr>
              <w:widowControl/>
              <w:jc w:val="left"/>
              <w:rPr>
                <w:snapToGrid w:val="0"/>
                <w:kern w:val="0"/>
                <w:sz w:val="20"/>
                <w:szCs w:val="20"/>
              </w:rPr>
            </w:pPr>
            <w:r>
              <w:rPr>
                <w:rFonts w:hint="eastAsia" w:ascii="宋体" w:hAnsi="宋体" w:eastAsia="宋体" w:cs="宋体"/>
                <w:kern w:val="0"/>
                <w:sz w:val="20"/>
                <w:szCs w:val="20"/>
              </w:rPr>
              <w:t>□</w:t>
            </w:r>
            <w:r>
              <w:rPr>
                <w:rFonts w:hint="eastAsia"/>
                <w:snapToGrid w:val="0"/>
                <w:kern w:val="0"/>
                <w:sz w:val="20"/>
                <w:szCs w:val="20"/>
              </w:rPr>
              <w:t>暖通空调循环水系统水质满足现行国家标准《采暖空调系统水质》</w:t>
            </w:r>
            <w:r>
              <w:rPr>
                <w:snapToGrid w:val="0"/>
                <w:kern w:val="0"/>
                <w:sz w:val="20"/>
                <w:szCs w:val="20"/>
              </w:rPr>
              <w:t>GB/T29044</w:t>
            </w:r>
            <w:r>
              <w:rPr>
                <w:rFonts w:hint="eastAsia"/>
                <w:snapToGrid w:val="0"/>
                <w:kern w:val="0"/>
                <w:sz w:val="20"/>
                <w:szCs w:val="20"/>
              </w:rPr>
              <w:t>的要求</w:t>
            </w:r>
          </w:p>
          <w:p>
            <w:pPr>
              <w:widowControl/>
              <w:jc w:val="left"/>
              <w:rPr>
                <w:snapToGrid w:val="0"/>
                <w:kern w:val="0"/>
                <w:sz w:val="20"/>
                <w:szCs w:val="20"/>
              </w:rPr>
            </w:pPr>
            <w:r>
              <w:rPr>
                <w:rFonts w:hint="eastAsia" w:ascii="宋体" w:hAnsi="宋体" w:eastAsia="宋体" w:cs="宋体"/>
                <w:kern w:val="0"/>
                <w:sz w:val="20"/>
                <w:szCs w:val="20"/>
              </w:rPr>
              <w:t>□循环水泵效率不应低于现行国家标准《清水离心泵能效限定值及节能评价值》</w:t>
            </w:r>
            <w:r>
              <w:rPr>
                <w:rFonts w:ascii="宋体" w:hAnsi="宋体" w:eastAsia="宋体" w:cs="宋体"/>
                <w:kern w:val="0"/>
                <w:sz w:val="20"/>
                <w:szCs w:val="20"/>
              </w:rPr>
              <w:t>GB 19762规定的节能评价值</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□水输配系统耗电输冷（热）比符合国家和地方现行节能规范与标准的要求</w:t>
            </w:r>
          </w:p>
        </w:tc>
        <w:tc>
          <w:tcPr>
            <w:tcW w:w="4820"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□空调水输配系统形式符合项目特点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□空调水输配系统设计能满足部分负荷运行要求</w:t>
            </w:r>
            <w:r>
              <w:rPr>
                <w:rFonts w:ascii="宋体" w:hAnsi="宋体" w:eastAsia="宋体" w:cs="宋体"/>
                <w:kern w:val="0"/>
                <w:sz w:val="20"/>
                <w:szCs w:val="20"/>
              </w:rPr>
              <w:br w:type="textWrapping"/>
            </w:r>
            <w:r>
              <w:rPr>
                <w:rFonts w:hint="eastAsia" w:ascii="宋体" w:hAnsi="宋体" w:eastAsia="宋体" w:cs="宋体"/>
                <w:kern w:val="0"/>
                <w:sz w:val="20"/>
                <w:szCs w:val="20"/>
              </w:rPr>
              <w:t>□空调水输配系统供回水温度与温差的选取合理</w:t>
            </w:r>
            <w:r>
              <w:rPr>
                <w:rFonts w:ascii="宋体" w:hAnsi="宋体" w:eastAsia="宋体" w:cs="宋体"/>
                <w:kern w:val="0"/>
                <w:sz w:val="20"/>
                <w:szCs w:val="20"/>
              </w:rPr>
              <w:br w:type="textWrapping"/>
            </w:r>
            <w:r>
              <w:rPr>
                <w:rFonts w:hint="eastAsia" w:ascii="宋体" w:hAnsi="宋体" w:eastAsia="宋体" w:cs="宋体"/>
                <w:kern w:val="0"/>
                <w:sz w:val="20"/>
                <w:szCs w:val="20"/>
              </w:rPr>
              <w:t>□空调冷热水均采用闭式循环水系统</w:t>
            </w:r>
            <w:r>
              <w:rPr>
                <w:rFonts w:ascii="宋体" w:hAnsi="宋体" w:eastAsia="宋体" w:cs="宋体"/>
                <w:kern w:val="0"/>
                <w:sz w:val="20"/>
                <w:szCs w:val="20"/>
              </w:rPr>
              <w:br w:type="textWrapping"/>
            </w:r>
            <w:r>
              <w:rPr>
                <w:rFonts w:hint="eastAsia" w:ascii="宋体" w:hAnsi="宋体" w:eastAsia="宋体" w:cs="宋体"/>
                <w:kern w:val="0"/>
                <w:sz w:val="20"/>
                <w:szCs w:val="20"/>
              </w:rPr>
              <w:t>□一级泵系统的单台水泵功率大于</w:t>
            </w:r>
            <w:r>
              <w:rPr>
                <w:rFonts w:ascii="宋体" w:hAnsi="宋体" w:eastAsia="宋体" w:cs="宋体"/>
                <w:kern w:val="0"/>
                <w:sz w:val="20"/>
                <w:szCs w:val="20"/>
              </w:rPr>
              <w:t>30kW时，水泵采用变速变流量调节方式</w:t>
            </w:r>
            <w:r>
              <w:rPr>
                <w:rFonts w:ascii="宋体" w:hAnsi="宋体" w:eastAsia="宋体" w:cs="宋体"/>
                <w:kern w:val="0"/>
                <w:sz w:val="20"/>
                <w:szCs w:val="20"/>
              </w:rPr>
              <w:br w:type="textWrapping"/>
            </w:r>
            <w:r>
              <w:rPr>
                <w:rFonts w:hint="eastAsia" w:ascii="宋体" w:hAnsi="宋体" w:eastAsia="宋体" w:cs="宋体"/>
                <w:kern w:val="0"/>
                <w:sz w:val="20"/>
                <w:szCs w:val="20"/>
              </w:rPr>
              <w:t>□采用换热器加热或冷却的二次空调水系统的循环水泵采用变速变流量调节方式</w:t>
            </w:r>
            <w:r>
              <w:rPr>
                <w:rFonts w:ascii="宋体" w:hAnsi="宋体" w:eastAsia="宋体" w:cs="宋体"/>
                <w:kern w:val="0"/>
                <w:sz w:val="20"/>
                <w:szCs w:val="20"/>
              </w:rPr>
              <w:br w:type="textWrapping"/>
            </w:r>
            <w:r>
              <w:rPr>
                <w:rFonts w:hint="eastAsia" w:ascii="宋体" w:hAnsi="宋体" w:eastAsia="宋体" w:cs="宋体"/>
                <w:kern w:val="0"/>
                <w:sz w:val="20"/>
                <w:szCs w:val="20"/>
              </w:rPr>
              <w:t>□除空调冷水系统和空调热水系统的设计流量、管网阻力特性及水泵工作特性相近的情况，两管制空调水系统分贝设置冷水和热水循环泵</w:t>
            </w:r>
            <w:r>
              <w:rPr>
                <w:rFonts w:ascii="宋体" w:hAnsi="宋体" w:eastAsia="宋体" w:cs="宋体"/>
                <w:kern w:val="0"/>
                <w:sz w:val="20"/>
                <w:szCs w:val="20"/>
              </w:rPr>
              <w:br w:type="textWrapping"/>
            </w:r>
            <w:r>
              <w:rPr>
                <w:rFonts w:hint="eastAsia" w:ascii="宋体" w:hAnsi="宋体" w:eastAsia="宋体" w:cs="宋体"/>
                <w:kern w:val="0"/>
                <w:sz w:val="20"/>
                <w:szCs w:val="20"/>
              </w:rPr>
              <w:t>□集中供暖系统应采用热水作为热媒</w:t>
            </w:r>
            <w:r>
              <w:rPr>
                <w:rFonts w:ascii="宋体" w:hAnsi="宋体" w:eastAsia="宋体" w:cs="宋体"/>
                <w:kern w:val="0"/>
                <w:sz w:val="20"/>
                <w:szCs w:val="20"/>
              </w:rPr>
              <w:br w:type="textWrapping"/>
            </w:r>
            <w:r>
              <w:rPr>
                <w:rFonts w:hint="eastAsia" w:ascii="宋体" w:hAnsi="宋体" w:eastAsia="宋体" w:cs="宋体"/>
                <w:kern w:val="0"/>
                <w:sz w:val="20"/>
                <w:szCs w:val="20"/>
              </w:rPr>
              <w:t>□在过渡季与冬季供冷工况时，利用冷却塔、地表水等提供空气调节的冷水。</w:t>
            </w:r>
            <w:r>
              <w:rPr>
                <w:rFonts w:ascii="宋体" w:hAnsi="宋体" w:eastAsia="宋体" w:cs="宋体"/>
                <w:kern w:val="0"/>
                <w:sz w:val="20"/>
                <w:szCs w:val="20"/>
              </w:rPr>
              <w:br w:type="textWrapping"/>
            </w:r>
            <w:r>
              <w:rPr>
                <w:rFonts w:hint="eastAsia" w:ascii="宋体" w:hAnsi="宋体" w:eastAsia="宋体" w:cs="宋体"/>
                <w:kern w:val="0"/>
                <w:sz w:val="20"/>
                <w:szCs w:val="20"/>
              </w:rPr>
              <w:t>□循环冷却水系统及空调冷、热水系统设置水处理设施</w:t>
            </w:r>
          </w:p>
          <w:p>
            <w:pPr>
              <w:widowControl/>
              <w:jc w:val="left"/>
              <w:rPr>
                <w:snapToGrid w:val="0"/>
                <w:kern w:val="0"/>
                <w:sz w:val="20"/>
                <w:szCs w:val="20"/>
              </w:rPr>
            </w:pPr>
            <w:r>
              <w:rPr>
                <w:rFonts w:hint="eastAsia" w:ascii="宋体" w:hAnsi="宋体" w:eastAsia="宋体" w:cs="宋体"/>
                <w:kern w:val="0"/>
                <w:sz w:val="20"/>
                <w:szCs w:val="20"/>
              </w:rPr>
              <w:t>□</w:t>
            </w:r>
            <w:r>
              <w:rPr>
                <w:rFonts w:hint="eastAsia"/>
                <w:snapToGrid w:val="0"/>
                <w:kern w:val="0"/>
                <w:sz w:val="20"/>
                <w:szCs w:val="20"/>
              </w:rPr>
              <w:t>暖通空调循环水系统水质满足现行国家标准《采暖空调系统水质》</w:t>
            </w:r>
            <w:r>
              <w:rPr>
                <w:snapToGrid w:val="0"/>
                <w:kern w:val="0"/>
                <w:sz w:val="20"/>
                <w:szCs w:val="20"/>
              </w:rPr>
              <w:t>GB/T29044</w:t>
            </w:r>
            <w:r>
              <w:rPr>
                <w:rFonts w:hint="eastAsia"/>
                <w:snapToGrid w:val="0"/>
                <w:kern w:val="0"/>
                <w:sz w:val="20"/>
                <w:szCs w:val="20"/>
              </w:rPr>
              <w:t>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□循环水泵效率不应低于现行国家标准《清水离心泵能效限定值及节能评价值》</w:t>
            </w:r>
            <w:r>
              <w:rPr>
                <w:rFonts w:ascii="宋体" w:hAnsi="宋体" w:eastAsia="宋体" w:cs="宋体"/>
                <w:kern w:val="0"/>
                <w:sz w:val="20"/>
                <w:szCs w:val="20"/>
              </w:rPr>
              <w:t>GB 19762规定的节能评价值</w:t>
            </w:r>
            <w:r>
              <w:rPr>
                <w:rFonts w:ascii="宋体" w:hAnsi="宋体" w:eastAsia="宋体" w:cs="宋体"/>
                <w:kern w:val="0"/>
                <w:sz w:val="20"/>
                <w:szCs w:val="20"/>
              </w:rPr>
              <w:br w:type="textWrapping"/>
            </w:r>
            <w:r>
              <w:rPr>
                <w:rFonts w:hint="eastAsia" w:ascii="宋体" w:hAnsi="宋体" w:eastAsia="宋体" w:cs="宋体"/>
                <w:kern w:val="0"/>
                <w:sz w:val="20"/>
                <w:szCs w:val="20"/>
              </w:rPr>
              <w:t>□空调供暖冷热水系统的耗电输冷（热）比</w:t>
            </w:r>
            <w:r>
              <w:rPr>
                <w:rFonts w:ascii="宋体" w:hAnsi="宋体" w:eastAsia="宋体" w:cs="宋体"/>
                <w:kern w:val="0"/>
                <w:sz w:val="20"/>
                <w:szCs w:val="20"/>
              </w:rPr>
              <w:t>EC(H)R-a应符合下式要求：EC(H)R-a=0.003096∑（G×H/η）/∑Q≤0.8A(B+α∑L)/△T</w:t>
            </w:r>
          </w:p>
        </w:tc>
        <w:tc>
          <w:tcPr>
            <w:tcW w:w="48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□空调水输配系统形式符合项目特点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□空调水输配系统设计能满足部分负荷运行要求</w:t>
            </w:r>
            <w:r>
              <w:rPr>
                <w:rFonts w:ascii="宋体" w:hAnsi="宋体" w:eastAsia="宋体" w:cs="宋体"/>
                <w:kern w:val="0"/>
                <w:sz w:val="20"/>
                <w:szCs w:val="20"/>
              </w:rPr>
              <w:br w:type="textWrapping"/>
            </w:r>
            <w:r>
              <w:rPr>
                <w:rFonts w:hint="eastAsia" w:ascii="宋体" w:hAnsi="宋体" w:eastAsia="宋体" w:cs="宋体"/>
                <w:kern w:val="0"/>
                <w:sz w:val="20"/>
                <w:szCs w:val="20"/>
              </w:rPr>
              <w:t>□空调水输配系统供回水温度与温差的选取合理</w:t>
            </w:r>
            <w:r>
              <w:rPr>
                <w:rFonts w:ascii="宋体" w:hAnsi="宋体" w:eastAsia="宋体" w:cs="宋体"/>
                <w:kern w:val="0"/>
                <w:sz w:val="20"/>
                <w:szCs w:val="20"/>
              </w:rPr>
              <w:br w:type="textWrapping"/>
            </w:r>
            <w:r>
              <w:rPr>
                <w:rFonts w:hint="eastAsia" w:ascii="宋体" w:hAnsi="宋体" w:eastAsia="宋体" w:cs="宋体"/>
                <w:kern w:val="0"/>
                <w:sz w:val="20"/>
                <w:szCs w:val="20"/>
              </w:rPr>
              <w:t>□空调冷热水均采用闭式循环水系统</w:t>
            </w:r>
            <w:r>
              <w:rPr>
                <w:rFonts w:ascii="宋体" w:hAnsi="宋体" w:eastAsia="宋体" w:cs="宋体"/>
                <w:kern w:val="0"/>
                <w:sz w:val="20"/>
                <w:szCs w:val="20"/>
              </w:rPr>
              <w:br w:type="textWrapping"/>
            </w:r>
            <w:r>
              <w:rPr>
                <w:rFonts w:hint="eastAsia" w:ascii="宋体" w:hAnsi="宋体" w:eastAsia="宋体" w:cs="宋体"/>
                <w:kern w:val="0"/>
                <w:sz w:val="20"/>
                <w:szCs w:val="20"/>
              </w:rPr>
              <w:t>□一级泵系统的单台水泵功率大于</w:t>
            </w:r>
            <w:r>
              <w:rPr>
                <w:rFonts w:ascii="宋体" w:hAnsi="宋体" w:eastAsia="宋体" w:cs="宋体"/>
                <w:kern w:val="0"/>
                <w:sz w:val="20"/>
                <w:szCs w:val="20"/>
              </w:rPr>
              <w:t>30kW时，水泵采用变速变流量调节方式</w:t>
            </w:r>
            <w:r>
              <w:rPr>
                <w:rFonts w:ascii="宋体" w:hAnsi="宋体" w:eastAsia="宋体" w:cs="宋体"/>
                <w:kern w:val="0"/>
                <w:sz w:val="20"/>
                <w:szCs w:val="20"/>
              </w:rPr>
              <w:br w:type="textWrapping"/>
            </w:r>
            <w:r>
              <w:rPr>
                <w:rFonts w:hint="eastAsia" w:ascii="宋体" w:hAnsi="宋体" w:eastAsia="宋体" w:cs="宋体"/>
                <w:kern w:val="0"/>
                <w:sz w:val="20"/>
                <w:szCs w:val="20"/>
              </w:rPr>
              <w:t>□采用换热器加热或冷却的二次空调水系统的循环水泵采用变速变流量调节方式</w:t>
            </w:r>
            <w:r>
              <w:rPr>
                <w:rFonts w:ascii="宋体" w:hAnsi="宋体" w:eastAsia="宋体" w:cs="宋体"/>
                <w:kern w:val="0"/>
                <w:sz w:val="20"/>
                <w:szCs w:val="20"/>
              </w:rPr>
              <w:br w:type="textWrapping"/>
            </w:r>
            <w:r>
              <w:rPr>
                <w:rFonts w:hint="eastAsia" w:ascii="宋体" w:hAnsi="宋体" w:eastAsia="宋体" w:cs="宋体"/>
                <w:kern w:val="0"/>
                <w:sz w:val="20"/>
                <w:szCs w:val="20"/>
              </w:rPr>
              <w:t>□除空调冷水系统和空调热水系统的设计流量、管网阻力特性及水泵工作特性相近的情况，两管制空调水系统分贝设置冷水和热水循环泵</w:t>
            </w:r>
            <w:r>
              <w:rPr>
                <w:rFonts w:ascii="宋体" w:hAnsi="宋体" w:eastAsia="宋体" w:cs="宋体"/>
                <w:kern w:val="0"/>
                <w:sz w:val="20"/>
                <w:szCs w:val="20"/>
              </w:rPr>
              <w:br w:type="textWrapping"/>
            </w:r>
            <w:r>
              <w:rPr>
                <w:rFonts w:hint="eastAsia" w:ascii="宋体" w:hAnsi="宋体" w:eastAsia="宋体" w:cs="宋体"/>
                <w:kern w:val="0"/>
                <w:sz w:val="20"/>
                <w:szCs w:val="20"/>
              </w:rPr>
              <w:t>□集中供暖系统应采用热水作为热媒</w:t>
            </w:r>
            <w:r>
              <w:rPr>
                <w:rFonts w:ascii="宋体" w:hAnsi="宋体" w:eastAsia="宋体" w:cs="宋体"/>
                <w:kern w:val="0"/>
                <w:sz w:val="20"/>
                <w:szCs w:val="20"/>
              </w:rPr>
              <w:br w:type="textWrapping"/>
            </w:r>
            <w:r>
              <w:rPr>
                <w:rFonts w:hint="eastAsia" w:ascii="宋体" w:hAnsi="宋体" w:eastAsia="宋体" w:cs="宋体"/>
                <w:kern w:val="0"/>
                <w:sz w:val="20"/>
                <w:szCs w:val="20"/>
              </w:rPr>
              <w:t>□在过渡季与冬季供冷工况时，利用冷却塔、地表水等提供空气调节的冷水。</w:t>
            </w:r>
            <w:r>
              <w:rPr>
                <w:rFonts w:ascii="宋体" w:hAnsi="宋体" w:eastAsia="宋体" w:cs="宋体"/>
                <w:kern w:val="0"/>
                <w:sz w:val="20"/>
                <w:szCs w:val="20"/>
              </w:rPr>
              <w:br w:type="textWrapping"/>
            </w:r>
            <w:r>
              <w:rPr>
                <w:rFonts w:hint="eastAsia" w:ascii="宋体" w:hAnsi="宋体" w:eastAsia="宋体" w:cs="宋体"/>
                <w:kern w:val="0"/>
                <w:sz w:val="20"/>
                <w:szCs w:val="20"/>
              </w:rPr>
              <w:t>□循环冷却水系统及空调冷、热水系统应设置水处理设施</w:t>
            </w:r>
          </w:p>
          <w:p>
            <w:pPr>
              <w:widowControl/>
              <w:jc w:val="left"/>
              <w:rPr>
                <w:snapToGrid w:val="0"/>
                <w:kern w:val="0"/>
                <w:sz w:val="20"/>
                <w:szCs w:val="20"/>
              </w:rPr>
            </w:pPr>
            <w:r>
              <w:rPr>
                <w:rFonts w:hint="eastAsia" w:ascii="宋体" w:hAnsi="宋体" w:eastAsia="宋体" w:cs="宋体"/>
                <w:kern w:val="0"/>
                <w:sz w:val="20"/>
                <w:szCs w:val="20"/>
              </w:rPr>
              <w:t>□</w:t>
            </w:r>
            <w:r>
              <w:rPr>
                <w:rFonts w:hint="eastAsia"/>
                <w:snapToGrid w:val="0"/>
                <w:kern w:val="0"/>
                <w:sz w:val="20"/>
                <w:szCs w:val="20"/>
              </w:rPr>
              <w:t>暖通空调循环水系统水质满足现行国家标准《采暖空调系统水质》</w:t>
            </w:r>
            <w:r>
              <w:rPr>
                <w:snapToGrid w:val="0"/>
                <w:kern w:val="0"/>
                <w:sz w:val="20"/>
                <w:szCs w:val="20"/>
              </w:rPr>
              <w:t>GB/T29044</w:t>
            </w:r>
            <w:r>
              <w:rPr>
                <w:rFonts w:hint="eastAsia"/>
                <w:snapToGrid w:val="0"/>
                <w:kern w:val="0"/>
                <w:sz w:val="20"/>
                <w:szCs w:val="20"/>
              </w:rPr>
              <w:t>的要求</w:t>
            </w:r>
          </w:p>
          <w:p>
            <w:pPr>
              <w:widowControl/>
              <w:jc w:val="left"/>
              <w:rPr>
                <w:rFonts w:ascii="宋体" w:hAnsi="宋体" w:eastAsia="宋体" w:cs="宋体"/>
                <w:kern w:val="0"/>
                <w:sz w:val="20"/>
                <w:szCs w:val="20"/>
              </w:rPr>
            </w:pPr>
            <w:r>
              <w:rPr>
                <w:rFonts w:hint="eastAsia"/>
                <w:snapToGrid w:val="0"/>
                <w:kern w:val="0"/>
                <w:sz w:val="20"/>
                <w:szCs w:val="20"/>
              </w:rPr>
              <w:t>□循环水泵效率不应低于现行国家标准《清水离心泵能效限定值及节能评价值》</w:t>
            </w:r>
            <w:r>
              <w:rPr>
                <w:snapToGrid w:val="0"/>
                <w:kern w:val="0"/>
                <w:sz w:val="20"/>
                <w:szCs w:val="20"/>
              </w:rPr>
              <w:t>GB 19762</w:t>
            </w:r>
            <w:r>
              <w:rPr>
                <w:rFonts w:hint="eastAsia"/>
                <w:snapToGrid w:val="0"/>
                <w:kern w:val="0"/>
                <w:sz w:val="20"/>
                <w:szCs w:val="20"/>
              </w:rPr>
              <w:t>规定的节能评价值</w:t>
            </w:r>
            <w:r>
              <w:rPr>
                <w:rFonts w:ascii="宋体" w:hAnsi="宋体" w:eastAsia="宋体" w:cs="宋体"/>
                <w:kern w:val="0"/>
                <w:sz w:val="20"/>
                <w:szCs w:val="20"/>
              </w:rPr>
              <w:br w:type="textWrapping"/>
            </w:r>
            <w:r>
              <w:rPr>
                <w:rFonts w:hint="eastAsia" w:ascii="宋体" w:hAnsi="宋体" w:eastAsia="宋体" w:cs="宋体"/>
                <w:kern w:val="0"/>
                <w:sz w:val="20"/>
                <w:szCs w:val="20"/>
              </w:rPr>
              <w:t>□空调供暖冷热水系统的耗电输冷（热）比</w:t>
            </w:r>
            <w:r>
              <w:rPr>
                <w:rFonts w:ascii="宋体" w:hAnsi="宋体" w:eastAsia="宋体" w:cs="宋体"/>
                <w:kern w:val="0"/>
                <w:sz w:val="20"/>
                <w:szCs w:val="20"/>
              </w:rPr>
              <w:t>EC(H)R-a应符合下式要求：EC(H)R-a=0.003096∑（G×H/η）/∑Q≤0.8A(B+α∑L)/△T</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水系统的供回水温度</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水系统的调节</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水处理方式</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水输配系统的效率</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冷媒输配系统</w:t>
            </w:r>
          </w:p>
        </w:tc>
        <w:tc>
          <w:tcPr>
            <w:tcW w:w="3097" w:type="dxa"/>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VRF系统配比率</w:t>
            </w:r>
          </w:p>
        </w:tc>
        <w:tc>
          <w:tcPr>
            <w:tcW w:w="14175" w:type="dxa"/>
            <w:gridSpan w:val="3"/>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VRF系统的配比率符合项目特点，满足节能评估规程要求</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ascii="宋体" w:hAnsi="宋体" w:eastAsia="宋体" w:cs="宋体"/>
                <w:kern w:val="0"/>
                <w:sz w:val="20"/>
                <w:szCs w:val="20"/>
              </w:rPr>
              <w:t>VRF系统的制冷衰减系数满足国家和地方现行节能规范与标准的要求</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ascii="宋体" w:hAnsi="宋体" w:eastAsia="宋体" w:cs="宋体"/>
                <w:kern w:val="0"/>
                <w:sz w:val="20"/>
                <w:szCs w:val="20"/>
              </w:rPr>
              <w:t>VRF系统等效管长下满负荷性能系数要求不小于2.8</w:t>
            </w:r>
            <w:r>
              <w:rPr>
                <w:rFonts w:hint="eastAsia" w:ascii="宋体" w:hAnsi="宋体" w:eastAsia="宋体" w:cs="宋体"/>
                <w:b/>
                <w:bCs/>
                <w:kern w:val="0"/>
                <w:sz w:val="20"/>
                <w:szCs w:val="20"/>
              </w:rPr>
              <w:t>　</w:t>
            </w:r>
          </w:p>
        </w:tc>
        <w:tc>
          <w:tcPr>
            <w:tcW w:w="1220" w:type="dxa"/>
            <w:vMerge w:val="restart"/>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VRF系统制冷衰减系数要求</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VRF系统等效管长下满负荷性能系数要求</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08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097"/>
        <w:gridCol w:w="4253"/>
        <w:gridCol w:w="283"/>
        <w:gridCol w:w="4536"/>
        <w:gridCol w:w="284"/>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5"/>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253"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819" w:type="dxa"/>
            <w:gridSpan w:val="2"/>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5103" w:type="dxa"/>
            <w:gridSpan w:val="2"/>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暖通空调用能设备系统</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风输配与末端系统</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风系统末端的组合</w:t>
            </w:r>
          </w:p>
        </w:tc>
        <w:tc>
          <w:tcPr>
            <w:tcW w:w="4253"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□空调风输配系统形式符合项目特点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□空调末端的方式、气流组织形式应符合项目特点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□设置</w:t>
            </w:r>
            <w:r>
              <w:rPr>
                <w:rFonts w:ascii="宋体" w:hAnsi="宋体" w:eastAsia="宋体" w:cs="宋体"/>
                <w:kern w:val="0"/>
                <w:sz w:val="20"/>
                <w:szCs w:val="20"/>
              </w:rPr>
              <w:t>CO2浓度检测装置的单一空间的独立新风系统及相应排风系统</w:t>
            </w:r>
            <w:r>
              <w:rPr>
                <w:rFonts w:hint="eastAsia" w:ascii="宋体" w:hAnsi="宋体" w:eastAsia="宋体" w:cs="宋体"/>
                <w:kern w:val="0"/>
                <w:sz w:val="20"/>
                <w:szCs w:val="20"/>
              </w:rPr>
              <w:t>，</w:t>
            </w:r>
            <w:r>
              <w:rPr>
                <w:rFonts w:ascii="宋体" w:hAnsi="宋体" w:eastAsia="宋体" w:cs="宋体"/>
                <w:kern w:val="0"/>
                <w:sz w:val="20"/>
                <w:szCs w:val="20"/>
              </w:rPr>
              <w:t>以及</w:t>
            </w:r>
            <w:r>
              <w:rPr>
                <w:rFonts w:hint="eastAsia" w:ascii="宋体" w:hAnsi="宋体" w:eastAsia="宋体" w:cs="宋体"/>
                <w:kern w:val="0"/>
                <w:sz w:val="20"/>
                <w:szCs w:val="20"/>
              </w:rPr>
              <w:t>电机功率不小于</w:t>
            </w:r>
            <w:r>
              <w:rPr>
                <w:rFonts w:ascii="宋体" w:hAnsi="宋体" w:eastAsia="宋体" w:cs="宋体"/>
                <w:kern w:val="0"/>
                <w:sz w:val="20"/>
                <w:szCs w:val="20"/>
              </w:rPr>
              <w:t>3kW的全空气系统风机采用变频调速技术</w:t>
            </w:r>
            <w:r>
              <w:rPr>
                <w:rFonts w:ascii="宋体" w:hAnsi="宋体" w:eastAsia="宋体" w:cs="宋体"/>
                <w:kern w:val="0"/>
                <w:sz w:val="20"/>
                <w:szCs w:val="20"/>
              </w:rPr>
              <w:br w:type="textWrapping"/>
            </w:r>
            <w:r>
              <w:rPr>
                <w:rFonts w:hint="eastAsia" w:ascii="宋体" w:hAnsi="宋体" w:eastAsia="宋体" w:cs="宋体"/>
                <w:kern w:val="0"/>
                <w:sz w:val="20"/>
                <w:szCs w:val="20"/>
              </w:rPr>
              <w:t>□空调末端设计能满足分室温控独立调节要求</w:t>
            </w:r>
            <w:r>
              <w:rPr>
                <w:rFonts w:ascii="宋体" w:hAnsi="宋体" w:eastAsia="宋体" w:cs="宋体"/>
                <w:kern w:val="0"/>
                <w:sz w:val="20"/>
                <w:szCs w:val="20"/>
              </w:rPr>
              <w:br w:type="textWrapping"/>
            </w:r>
            <w:r>
              <w:rPr>
                <w:rFonts w:hint="eastAsia" w:ascii="宋体" w:hAnsi="宋体" w:eastAsia="宋体" w:cs="宋体"/>
                <w:kern w:val="0"/>
                <w:sz w:val="20"/>
                <w:szCs w:val="20"/>
              </w:rPr>
              <w:t>□空调排风热回收系统合理，热交换效率满足</w:t>
            </w:r>
            <w:r>
              <w:rPr>
                <w:rFonts w:hint="eastAsia" w:cs="Arial"/>
                <w:snapToGrid w:val="0"/>
                <w:kern w:val="0"/>
                <w:sz w:val="20"/>
                <w:szCs w:val="20"/>
              </w:rPr>
              <w:t>现行浙江省标准</w:t>
            </w:r>
            <w:r>
              <w:rPr>
                <w:rFonts w:hint="eastAsia"/>
                <w:snapToGrid w:val="0"/>
                <w:kern w:val="0"/>
                <w:sz w:val="20"/>
                <w:szCs w:val="20"/>
              </w:rPr>
              <w:t>《公共建筑节能设计标准》</w:t>
            </w:r>
            <w:r>
              <w:rPr>
                <w:snapToGrid w:val="0"/>
                <w:kern w:val="0"/>
                <w:sz w:val="20"/>
                <w:szCs w:val="20"/>
              </w:rPr>
              <w:t>DB 33/1036</w:t>
            </w:r>
            <w:r>
              <w:rPr>
                <w:rFonts w:hint="eastAsia"/>
                <w:snapToGrid w:val="0"/>
                <w:kern w:val="0"/>
                <w:sz w:val="20"/>
                <w:szCs w:val="20"/>
              </w:rPr>
              <w:t>、《居住建筑节能设计标准》</w:t>
            </w:r>
            <w:r>
              <w:rPr>
                <w:snapToGrid w:val="0"/>
                <w:kern w:val="0"/>
                <w:sz w:val="20"/>
                <w:szCs w:val="20"/>
              </w:rPr>
              <w:t>DB33/1015</w:t>
            </w:r>
            <w:r>
              <w:rPr>
                <w:rFonts w:hint="eastAsia"/>
                <w:snapToGrid w:val="0"/>
                <w:kern w:val="0"/>
                <w:sz w:val="20"/>
                <w:szCs w:val="20"/>
              </w:rPr>
              <w:t>的规定</w:t>
            </w:r>
            <w:r>
              <w:rPr>
                <w:rFonts w:ascii="宋体" w:hAnsi="宋体" w:eastAsia="宋体" w:cs="宋体"/>
                <w:kern w:val="0"/>
                <w:sz w:val="20"/>
                <w:szCs w:val="20"/>
              </w:rPr>
              <w:br w:type="textWrapping"/>
            </w:r>
            <w:r>
              <w:rPr>
                <w:rFonts w:hint="eastAsia" w:ascii="宋体" w:hAnsi="宋体" w:eastAsia="宋体" w:cs="宋体"/>
                <w:kern w:val="0"/>
                <w:sz w:val="20"/>
                <w:szCs w:val="20"/>
              </w:rPr>
              <w:t>□舒适性空调的全空气系统满足免费冷源利用</w:t>
            </w:r>
            <w:r>
              <w:rPr>
                <w:rFonts w:ascii="宋体" w:hAnsi="宋体" w:eastAsia="宋体" w:cs="宋体"/>
                <w:kern w:val="0"/>
                <w:sz w:val="20"/>
                <w:szCs w:val="20"/>
              </w:rPr>
              <w:br w:type="textWrapping"/>
            </w:r>
            <w:r>
              <w:rPr>
                <w:rFonts w:hint="eastAsia" w:ascii="宋体" w:hAnsi="宋体" w:eastAsia="宋体" w:cs="宋体"/>
                <w:kern w:val="0"/>
                <w:sz w:val="20"/>
                <w:szCs w:val="20"/>
              </w:rPr>
              <w:t>□大于</w:t>
            </w:r>
            <w:r>
              <w:rPr>
                <w:rFonts w:ascii="宋体" w:hAnsi="宋体" w:eastAsia="宋体" w:cs="宋体"/>
                <w:kern w:val="0"/>
                <w:sz w:val="20"/>
                <w:szCs w:val="20"/>
              </w:rPr>
              <w:t>10000m3/h风量的风道系统单位风量耗功率比现行国家标准《公共建筑节能设计标准》GB 50189的规定低20%</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hint="eastAsia"/>
                <w:snapToGrid w:val="0"/>
                <w:kern w:val="0"/>
                <w:sz w:val="20"/>
                <w:szCs w:val="20"/>
              </w:rPr>
              <w:t>风机效率不应低于现行国家标准《通风风机能效限定值及能效等级》</w:t>
            </w:r>
            <w:r>
              <w:rPr>
                <w:snapToGrid w:val="0"/>
                <w:kern w:val="0"/>
                <w:sz w:val="20"/>
                <w:szCs w:val="20"/>
              </w:rPr>
              <w:t>GB 19761</w:t>
            </w:r>
            <w:r>
              <w:rPr>
                <w:rFonts w:hint="eastAsia"/>
                <w:snapToGrid w:val="0"/>
                <w:kern w:val="0"/>
                <w:sz w:val="20"/>
                <w:szCs w:val="20"/>
              </w:rPr>
              <w:t>规定的通风机能效等级的</w:t>
            </w:r>
            <w:r>
              <w:rPr>
                <w:snapToGrid w:val="0"/>
                <w:kern w:val="0"/>
                <w:sz w:val="20"/>
                <w:szCs w:val="20"/>
              </w:rPr>
              <w:t>2</w:t>
            </w:r>
            <w:r>
              <w:rPr>
                <w:rFonts w:hint="eastAsia"/>
                <w:snapToGrid w:val="0"/>
                <w:kern w:val="0"/>
                <w:sz w:val="20"/>
                <w:szCs w:val="20"/>
              </w:rPr>
              <w:t>级</w:t>
            </w:r>
          </w:p>
        </w:tc>
        <w:tc>
          <w:tcPr>
            <w:tcW w:w="4819" w:type="dxa"/>
            <w:gridSpan w:val="2"/>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□空调风输配系统形式符合项目特点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□空调末端的方式、气流组织形式应符合项目特点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□设置</w:t>
            </w:r>
            <w:r>
              <w:rPr>
                <w:rFonts w:ascii="宋体" w:hAnsi="宋体" w:eastAsia="宋体" w:cs="宋体"/>
                <w:kern w:val="0"/>
                <w:sz w:val="20"/>
                <w:szCs w:val="20"/>
              </w:rPr>
              <w:t>CO2浓度检测装置的单一空间的独立新风系统及相应排风系统</w:t>
            </w:r>
            <w:r>
              <w:rPr>
                <w:rFonts w:hint="eastAsia" w:ascii="宋体" w:hAnsi="宋体" w:eastAsia="宋体" w:cs="宋体"/>
                <w:kern w:val="0"/>
                <w:sz w:val="20"/>
                <w:szCs w:val="20"/>
              </w:rPr>
              <w:t>，</w:t>
            </w:r>
            <w:r>
              <w:rPr>
                <w:rFonts w:ascii="宋体" w:hAnsi="宋体" w:eastAsia="宋体" w:cs="宋体"/>
                <w:kern w:val="0"/>
                <w:sz w:val="20"/>
                <w:szCs w:val="20"/>
              </w:rPr>
              <w:t>以及</w:t>
            </w:r>
            <w:r>
              <w:rPr>
                <w:rFonts w:hint="eastAsia" w:ascii="宋体" w:hAnsi="宋体" w:eastAsia="宋体" w:cs="宋体"/>
                <w:kern w:val="0"/>
                <w:sz w:val="20"/>
                <w:szCs w:val="20"/>
              </w:rPr>
              <w:t>电机功率不小于</w:t>
            </w:r>
            <w:r>
              <w:rPr>
                <w:rFonts w:ascii="宋体" w:hAnsi="宋体" w:eastAsia="宋体" w:cs="宋体"/>
                <w:kern w:val="0"/>
                <w:sz w:val="20"/>
                <w:szCs w:val="20"/>
              </w:rPr>
              <w:t>3kW的全空气系统风机采用变频调速技术</w:t>
            </w:r>
            <w:r>
              <w:rPr>
                <w:rFonts w:ascii="宋体" w:hAnsi="宋体" w:eastAsia="宋体" w:cs="宋体"/>
                <w:kern w:val="0"/>
                <w:sz w:val="20"/>
                <w:szCs w:val="20"/>
              </w:rPr>
              <w:br w:type="textWrapping"/>
            </w:r>
            <w:r>
              <w:rPr>
                <w:rFonts w:hint="eastAsia" w:ascii="宋体" w:hAnsi="宋体" w:eastAsia="宋体" w:cs="宋体"/>
                <w:kern w:val="0"/>
                <w:sz w:val="20"/>
                <w:szCs w:val="20"/>
              </w:rPr>
              <w:t>□空调末端设计能满足分室温控独立调节要求</w:t>
            </w:r>
            <w:r>
              <w:rPr>
                <w:rFonts w:ascii="宋体" w:hAnsi="宋体" w:eastAsia="宋体" w:cs="宋体"/>
                <w:kern w:val="0"/>
                <w:sz w:val="20"/>
                <w:szCs w:val="20"/>
              </w:rPr>
              <w:br w:type="textWrapping"/>
            </w:r>
            <w:r>
              <w:rPr>
                <w:rFonts w:hint="eastAsia" w:ascii="宋体" w:hAnsi="宋体" w:eastAsia="宋体" w:cs="宋体"/>
                <w:kern w:val="0"/>
                <w:sz w:val="20"/>
                <w:szCs w:val="20"/>
              </w:rPr>
              <w:t>□空调排风热回收系统合理，热交换效率满足</w:t>
            </w:r>
            <w:r>
              <w:rPr>
                <w:rFonts w:hint="eastAsia" w:cs="Arial"/>
                <w:snapToGrid w:val="0"/>
                <w:kern w:val="0"/>
                <w:sz w:val="20"/>
                <w:szCs w:val="20"/>
              </w:rPr>
              <w:t>现行浙江省标准</w:t>
            </w:r>
            <w:r>
              <w:rPr>
                <w:rFonts w:hint="eastAsia"/>
                <w:snapToGrid w:val="0"/>
                <w:kern w:val="0"/>
                <w:sz w:val="20"/>
                <w:szCs w:val="20"/>
              </w:rPr>
              <w:t>《公共建筑节能设计标准》</w:t>
            </w:r>
            <w:r>
              <w:rPr>
                <w:snapToGrid w:val="0"/>
                <w:kern w:val="0"/>
                <w:sz w:val="20"/>
                <w:szCs w:val="20"/>
              </w:rPr>
              <w:t>DB 33/1036</w:t>
            </w:r>
            <w:r>
              <w:rPr>
                <w:rFonts w:hint="eastAsia"/>
                <w:snapToGrid w:val="0"/>
                <w:kern w:val="0"/>
                <w:sz w:val="20"/>
                <w:szCs w:val="20"/>
              </w:rPr>
              <w:t>、《居住建筑节能设计标准》</w:t>
            </w:r>
            <w:r>
              <w:rPr>
                <w:snapToGrid w:val="0"/>
                <w:kern w:val="0"/>
                <w:sz w:val="20"/>
                <w:szCs w:val="20"/>
              </w:rPr>
              <w:t>DB33/1015</w:t>
            </w:r>
            <w:r>
              <w:rPr>
                <w:rFonts w:hint="eastAsia"/>
                <w:snapToGrid w:val="0"/>
                <w:kern w:val="0"/>
                <w:sz w:val="20"/>
                <w:szCs w:val="20"/>
              </w:rPr>
              <w:t>的规定</w:t>
            </w:r>
            <w:r>
              <w:rPr>
                <w:rFonts w:ascii="宋体" w:hAnsi="宋体" w:eastAsia="宋体" w:cs="宋体"/>
                <w:kern w:val="0"/>
                <w:sz w:val="20"/>
                <w:szCs w:val="20"/>
              </w:rPr>
              <w:br w:type="textWrapping"/>
            </w:r>
            <w:r>
              <w:rPr>
                <w:rFonts w:hint="eastAsia" w:ascii="宋体" w:hAnsi="宋体" w:eastAsia="宋体" w:cs="宋体"/>
                <w:kern w:val="0"/>
                <w:sz w:val="20"/>
                <w:szCs w:val="20"/>
              </w:rPr>
              <w:t>□舒适性空调的全空气系统满足免费冷源利用</w:t>
            </w:r>
            <w:r>
              <w:rPr>
                <w:rFonts w:ascii="宋体" w:hAnsi="宋体" w:eastAsia="宋体" w:cs="宋体"/>
                <w:kern w:val="0"/>
                <w:sz w:val="20"/>
                <w:szCs w:val="20"/>
              </w:rPr>
              <w:br w:type="textWrapping"/>
            </w:r>
            <w:r>
              <w:rPr>
                <w:rFonts w:hint="eastAsia" w:ascii="宋体" w:hAnsi="宋体" w:eastAsia="宋体" w:cs="宋体"/>
                <w:kern w:val="0"/>
                <w:sz w:val="20"/>
                <w:szCs w:val="20"/>
              </w:rPr>
              <w:t>□大于</w:t>
            </w:r>
            <w:r>
              <w:rPr>
                <w:rFonts w:ascii="宋体" w:hAnsi="宋体" w:eastAsia="宋体" w:cs="宋体"/>
                <w:kern w:val="0"/>
                <w:sz w:val="20"/>
                <w:szCs w:val="20"/>
              </w:rPr>
              <w:t>10000m3/h风量的风道系统单位风量耗功率比现行国家标准《公共建筑节能设计标准》GB 50189的规定低20%</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hint="eastAsia"/>
                <w:snapToGrid w:val="0"/>
                <w:kern w:val="0"/>
                <w:sz w:val="20"/>
                <w:szCs w:val="20"/>
              </w:rPr>
              <w:t>风机效率不应低于现行国家标准《通风风机能效限定值及能效等级》</w:t>
            </w:r>
            <w:r>
              <w:rPr>
                <w:snapToGrid w:val="0"/>
                <w:kern w:val="0"/>
                <w:sz w:val="20"/>
                <w:szCs w:val="20"/>
              </w:rPr>
              <w:t>GB 19761</w:t>
            </w:r>
            <w:r>
              <w:rPr>
                <w:rFonts w:hint="eastAsia"/>
                <w:snapToGrid w:val="0"/>
                <w:kern w:val="0"/>
                <w:sz w:val="20"/>
                <w:szCs w:val="20"/>
              </w:rPr>
              <w:t>规定的通风机能效等级的</w:t>
            </w:r>
            <w:r>
              <w:rPr>
                <w:snapToGrid w:val="0"/>
                <w:kern w:val="0"/>
                <w:sz w:val="20"/>
                <w:szCs w:val="20"/>
              </w:rPr>
              <w:t>2</w:t>
            </w:r>
            <w:r>
              <w:rPr>
                <w:rFonts w:hint="eastAsia"/>
                <w:snapToGrid w:val="0"/>
                <w:kern w:val="0"/>
                <w:sz w:val="20"/>
                <w:szCs w:val="20"/>
              </w:rPr>
              <w:t>级</w:t>
            </w:r>
            <w:r>
              <w:rPr>
                <w:rFonts w:ascii="宋体" w:hAnsi="宋体" w:eastAsia="宋体" w:cs="宋体"/>
                <w:kern w:val="0"/>
                <w:sz w:val="20"/>
                <w:szCs w:val="20"/>
              </w:rPr>
              <w:br w:type="textWrapping"/>
            </w:r>
            <w:r>
              <w:rPr>
                <w:rFonts w:hint="eastAsia" w:ascii="宋体" w:hAnsi="宋体" w:eastAsia="宋体" w:cs="宋体"/>
                <w:kern w:val="0"/>
                <w:sz w:val="20"/>
                <w:szCs w:val="20"/>
              </w:rPr>
              <w:t>□室内游泳池空调应采用全空气空调系统，并应具备全新风运行功能。冬季排风应采取热回收措施。</w:t>
            </w:r>
            <w:r>
              <w:rPr>
                <w:rFonts w:ascii="宋体" w:hAnsi="宋体" w:eastAsia="宋体" w:cs="宋体"/>
                <w:kern w:val="0"/>
                <w:sz w:val="20"/>
                <w:szCs w:val="20"/>
              </w:rPr>
              <w:br w:type="textWrapping"/>
            </w:r>
            <w:r>
              <w:rPr>
                <w:rFonts w:hint="eastAsia" w:ascii="宋体" w:hAnsi="宋体" w:eastAsia="宋体" w:cs="宋体"/>
                <w:kern w:val="0"/>
                <w:sz w:val="20"/>
                <w:szCs w:val="20"/>
              </w:rPr>
              <w:t>□空调系统的新风和回风设置净化设施或初效加中效过滤的方式。</w:t>
            </w:r>
          </w:p>
        </w:tc>
        <w:tc>
          <w:tcPr>
            <w:tcW w:w="5103" w:type="dxa"/>
            <w:gridSpan w:val="2"/>
            <w:vMerge w:val="restart"/>
            <w:shd w:val="clear" w:color="auto" w:fill="auto"/>
            <w:vAlign w:val="center"/>
          </w:tcPr>
          <w:p>
            <w:pPr>
              <w:widowControl/>
              <w:jc w:val="left"/>
              <w:rPr>
                <w:snapToGrid w:val="0"/>
                <w:kern w:val="0"/>
                <w:sz w:val="20"/>
                <w:szCs w:val="20"/>
              </w:rPr>
            </w:pPr>
            <w:r>
              <w:rPr>
                <w:rFonts w:hint="eastAsia" w:ascii="宋体" w:hAnsi="宋体" w:eastAsia="宋体" w:cs="宋体"/>
                <w:kern w:val="0"/>
                <w:sz w:val="20"/>
                <w:szCs w:val="20"/>
              </w:rPr>
              <w:t>□空调风输配系统形式符合项目特点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□空调末端的方式、气流组织形式应符合项目特点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□设置</w:t>
            </w:r>
            <w:r>
              <w:rPr>
                <w:rFonts w:ascii="宋体" w:hAnsi="宋体" w:eastAsia="宋体" w:cs="宋体"/>
                <w:kern w:val="0"/>
                <w:sz w:val="20"/>
                <w:szCs w:val="20"/>
              </w:rPr>
              <w:t>CO2浓度检测装置的单一空间的独立新风系统及相应排风系统</w:t>
            </w:r>
            <w:r>
              <w:rPr>
                <w:rFonts w:hint="eastAsia" w:ascii="宋体" w:hAnsi="宋体" w:eastAsia="宋体" w:cs="宋体"/>
                <w:kern w:val="0"/>
                <w:sz w:val="20"/>
                <w:szCs w:val="20"/>
              </w:rPr>
              <w:t>，</w:t>
            </w:r>
            <w:r>
              <w:rPr>
                <w:rFonts w:ascii="宋体" w:hAnsi="宋体" w:eastAsia="宋体" w:cs="宋体"/>
                <w:kern w:val="0"/>
                <w:sz w:val="20"/>
                <w:szCs w:val="20"/>
              </w:rPr>
              <w:t>以及</w:t>
            </w:r>
            <w:r>
              <w:rPr>
                <w:rFonts w:hint="eastAsia" w:ascii="宋体" w:hAnsi="宋体" w:eastAsia="宋体" w:cs="宋体"/>
                <w:kern w:val="0"/>
                <w:sz w:val="20"/>
                <w:szCs w:val="20"/>
              </w:rPr>
              <w:t>电机功率不小于</w:t>
            </w:r>
            <w:r>
              <w:rPr>
                <w:rFonts w:ascii="宋体" w:hAnsi="宋体" w:eastAsia="宋体" w:cs="宋体"/>
                <w:kern w:val="0"/>
                <w:sz w:val="20"/>
                <w:szCs w:val="20"/>
              </w:rPr>
              <w:t>3kW的全空气系统风机采用变频调速技术</w:t>
            </w:r>
            <w:r>
              <w:rPr>
                <w:rFonts w:ascii="宋体" w:hAnsi="宋体" w:eastAsia="宋体" w:cs="宋体"/>
                <w:kern w:val="0"/>
                <w:sz w:val="20"/>
                <w:szCs w:val="20"/>
              </w:rPr>
              <w:br w:type="textWrapping"/>
            </w:r>
            <w:r>
              <w:rPr>
                <w:rFonts w:hint="eastAsia" w:ascii="宋体" w:hAnsi="宋体" w:eastAsia="宋体" w:cs="宋体"/>
                <w:kern w:val="0"/>
                <w:sz w:val="20"/>
                <w:szCs w:val="20"/>
              </w:rPr>
              <w:t>□空调末端设计能满足分室温控独立调节要求</w:t>
            </w:r>
            <w:r>
              <w:rPr>
                <w:rFonts w:ascii="宋体" w:hAnsi="宋体" w:eastAsia="宋体" w:cs="宋体"/>
                <w:kern w:val="0"/>
                <w:sz w:val="20"/>
                <w:szCs w:val="20"/>
              </w:rPr>
              <w:br w:type="textWrapping"/>
            </w:r>
            <w:r>
              <w:rPr>
                <w:rFonts w:hint="eastAsia" w:ascii="宋体" w:hAnsi="宋体" w:eastAsia="宋体" w:cs="宋体"/>
                <w:kern w:val="0"/>
                <w:sz w:val="20"/>
                <w:szCs w:val="20"/>
              </w:rPr>
              <w:t>□空调排风热回收系统合理，热交换效率满足</w:t>
            </w:r>
            <w:r>
              <w:rPr>
                <w:rFonts w:hint="eastAsia" w:cs="Arial"/>
                <w:snapToGrid w:val="0"/>
                <w:kern w:val="0"/>
                <w:sz w:val="20"/>
                <w:szCs w:val="20"/>
              </w:rPr>
              <w:t>现行浙江省标准</w:t>
            </w:r>
            <w:r>
              <w:rPr>
                <w:rFonts w:hint="eastAsia"/>
                <w:snapToGrid w:val="0"/>
                <w:kern w:val="0"/>
                <w:sz w:val="20"/>
                <w:szCs w:val="20"/>
              </w:rPr>
              <w:t>《公共建筑节能设计标准》</w:t>
            </w:r>
            <w:r>
              <w:rPr>
                <w:snapToGrid w:val="0"/>
                <w:kern w:val="0"/>
                <w:sz w:val="20"/>
                <w:szCs w:val="20"/>
              </w:rPr>
              <w:t>DB 33/1036</w:t>
            </w:r>
            <w:r>
              <w:rPr>
                <w:rFonts w:hint="eastAsia"/>
                <w:snapToGrid w:val="0"/>
                <w:kern w:val="0"/>
                <w:sz w:val="20"/>
                <w:szCs w:val="20"/>
              </w:rPr>
              <w:t>、《居住建筑节能设计标准》</w:t>
            </w:r>
            <w:r>
              <w:rPr>
                <w:snapToGrid w:val="0"/>
                <w:kern w:val="0"/>
                <w:sz w:val="20"/>
                <w:szCs w:val="20"/>
              </w:rPr>
              <w:t>DB33/1015</w:t>
            </w:r>
            <w:r>
              <w:rPr>
                <w:rFonts w:hint="eastAsia"/>
                <w:snapToGrid w:val="0"/>
                <w:kern w:val="0"/>
                <w:sz w:val="20"/>
                <w:szCs w:val="20"/>
              </w:rPr>
              <w:t>的规定</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□舒适性空调的全空气系统满足免费冷源利用</w:t>
            </w:r>
            <w:r>
              <w:rPr>
                <w:rFonts w:ascii="宋体" w:hAnsi="宋体" w:eastAsia="宋体" w:cs="宋体"/>
                <w:kern w:val="0"/>
                <w:sz w:val="20"/>
                <w:szCs w:val="20"/>
              </w:rPr>
              <w:br w:type="textWrapping"/>
            </w:r>
            <w:r>
              <w:rPr>
                <w:rFonts w:hint="eastAsia" w:ascii="宋体" w:hAnsi="宋体" w:eastAsia="宋体" w:cs="宋体"/>
                <w:kern w:val="0"/>
                <w:sz w:val="20"/>
                <w:szCs w:val="20"/>
              </w:rPr>
              <w:t>□大于</w:t>
            </w:r>
            <w:r>
              <w:rPr>
                <w:rFonts w:ascii="宋体" w:hAnsi="宋体" w:eastAsia="宋体" w:cs="宋体"/>
                <w:kern w:val="0"/>
                <w:sz w:val="20"/>
                <w:szCs w:val="20"/>
              </w:rPr>
              <w:t>10000m3/h风量的风道系统单位风量耗功率比现行国家标准《公共建筑节能设计标准》GB 50189的规定低20%</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hint="eastAsia"/>
                <w:snapToGrid w:val="0"/>
                <w:kern w:val="0"/>
                <w:sz w:val="20"/>
                <w:szCs w:val="20"/>
              </w:rPr>
              <w:t>风机效率不应低于现行国家标准《通风风机能效限定值及能效等级》</w:t>
            </w:r>
            <w:r>
              <w:rPr>
                <w:snapToGrid w:val="0"/>
                <w:kern w:val="0"/>
                <w:sz w:val="20"/>
                <w:szCs w:val="20"/>
              </w:rPr>
              <w:t>GB 19761</w:t>
            </w:r>
            <w:r>
              <w:rPr>
                <w:rFonts w:hint="eastAsia"/>
                <w:snapToGrid w:val="0"/>
                <w:kern w:val="0"/>
                <w:sz w:val="20"/>
                <w:szCs w:val="20"/>
              </w:rPr>
              <w:t>规定的通风机能效等级的</w:t>
            </w:r>
            <w:r>
              <w:rPr>
                <w:snapToGrid w:val="0"/>
                <w:kern w:val="0"/>
                <w:sz w:val="20"/>
                <w:szCs w:val="20"/>
              </w:rPr>
              <w:t>2</w:t>
            </w:r>
            <w:r>
              <w:rPr>
                <w:rFonts w:hint="eastAsia"/>
                <w:snapToGrid w:val="0"/>
                <w:kern w:val="0"/>
                <w:sz w:val="20"/>
                <w:szCs w:val="20"/>
              </w:rPr>
              <w:t>级</w:t>
            </w:r>
            <w:r>
              <w:rPr>
                <w:rFonts w:ascii="宋体" w:hAnsi="宋体" w:eastAsia="宋体" w:cs="宋体"/>
                <w:kern w:val="0"/>
                <w:sz w:val="20"/>
                <w:szCs w:val="20"/>
              </w:rPr>
              <w:br w:type="textWrapping"/>
            </w:r>
            <w:r>
              <w:rPr>
                <w:rFonts w:hint="eastAsia" w:ascii="宋体" w:hAnsi="宋体" w:eastAsia="宋体" w:cs="宋体"/>
                <w:kern w:val="0"/>
                <w:sz w:val="20"/>
                <w:szCs w:val="20"/>
              </w:rPr>
              <w:t>□室内游泳池空调应采用全空气空调系统，并应具备全新风运行功能。冬季排风应采取热回收措施。</w:t>
            </w:r>
            <w:r>
              <w:rPr>
                <w:rFonts w:ascii="宋体" w:hAnsi="宋体" w:eastAsia="宋体" w:cs="宋体"/>
                <w:kern w:val="0"/>
                <w:sz w:val="20"/>
                <w:szCs w:val="20"/>
              </w:rPr>
              <w:br w:type="textWrapping"/>
            </w:r>
            <w:r>
              <w:rPr>
                <w:rFonts w:hint="eastAsia" w:ascii="宋体" w:hAnsi="宋体" w:eastAsia="宋体" w:cs="宋体"/>
                <w:kern w:val="0"/>
                <w:sz w:val="20"/>
                <w:szCs w:val="20"/>
              </w:rPr>
              <w:t>□空调系统的新风和回风设置净化设施或初效加中效过滤的方式。</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风系统的气流组织形式</w:t>
            </w:r>
          </w:p>
        </w:tc>
        <w:tc>
          <w:tcPr>
            <w:tcW w:w="4253" w:type="dxa"/>
            <w:vMerge w:val="continue"/>
            <w:vAlign w:val="center"/>
          </w:tcPr>
          <w:p>
            <w:pPr>
              <w:widowControl/>
              <w:jc w:val="left"/>
              <w:rPr>
                <w:rFonts w:ascii="宋体" w:hAnsi="宋体" w:eastAsia="宋体" w:cs="宋体"/>
                <w:kern w:val="0"/>
                <w:sz w:val="20"/>
                <w:szCs w:val="20"/>
              </w:rPr>
            </w:pPr>
          </w:p>
        </w:tc>
        <w:tc>
          <w:tcPr>
            <w:tcW w:w="4819" w:type="dxa"/>
            <w:gridSpan w:val="2"/>
            <w:vMerge w:val="continue"/>
            <w:vAlign w:val="center"/>
          </w:tcPr>
          <w:p>
            <w:pPr>
              <w:widowControl/>
              <w:jc w:val="left"/>
              <w:rPr>
                <w:rFonts w:ascii="宋体" w:hAnsi="宋体" w:eastAsia="宋体" w:cs="宋体"/>
                <w:kern w:val="0"/>
                <w:sz w:val="20"/>
                <w:szCs w:val="20"/>
              </w:rPr>
            </w:pPr>
          </w:p>
        </w:tc>
        <w:tc>
          <w:tcPr>
            <w:tcW w:w="5103" w:type="dxa"/>
            <w:gridSpan w:val="2"/>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排风热回收系统风量及回收效率</w:t>
            </w:r>
          </w:p>
        </w:tc>
        <w:tc>
          <w:tcPr>
            <w:tcW w:w="4253" w:type="dxa"/>
            <w:vMerge w:val="continue"/>
            <w:vAlign w:val="center"/>
          </w:tcPr>
          <w:p>
            <w:pPr>
              <w:widowControl/>
              <w:jc w:val="left"/>
              <w:rPr>
                <w:rFonts w:ascii="宋体" w:hAnsi="宋体" w:eastAsia="宋体" w:cs="宋体"/>
                <w:kern w:val="0"/>
                <w:sz w:val="20"/>
                <w:szCs w:val="20"/>
              </w:rPr>
            </w:pPr>
          </w:p>
        </w:tc>
        <w:tc>
          <w:tcPr>
            <w:tcW w:w="4819" w:type="dxa"/>
            <w:gridSpan w:val="2"/>
            <w:vMerge w:val="continue"/>
            <w:vAlign w:val="center"/>
          </w:tcPr>
          <w:p>
            <w:pPr>
              <w:widowControl/>
              <w:jc w:val="left"/>
              <w:rPr>
                <w:rFonts w:ascii="宋体" w:hAnsi="宋体" w:eastAsia="宋体" w:cs="宋体"/>
                <w:kern w:val="0"/>
                <w:sz w:val="20"/>
                <w:szCs w:val="20"/>
              </w:rPr>
            </w:pPr>
          </w:p>
        </w:tc>
        <w:tc>
          <w:tcPr>
            <w:tcW w:w="5103" w:type="dxa"/>
            <w:gridSpan w:val="2"/>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风机效率</w:t>
            </w:r>
          </w:p>
        </w:tc>
        <w:tc>
          <w:tcPr>
            <w:tcW w:w="4253" w:type="dxa"/>
            <w:vMerge w:val="continue"/>
            <w:vAlign w:val="center"/>
          </w:tcPr>
          <w:p>
            <w:pPr>
              <w:widowControl/>
              <w:jc w:val="left"/>
              <w:rPr>
                <w:rFonts w:ascii="宋体" w:hAnsi="宋体" w:eastAsia="宋体" w:cs="宋体"/>
                <w:kern w:val="0"/>
                <w:sz w:val="20"/>
                <w:szCs w:val="20"/>
              </w:rPr>
            </w:pPr>
          </w:p>
        </w:tc>
        <w:tc>
          <w:tcPr>
            <w:tcW w:w="4819" w:type="dxa"/>
            <w:gridSpan w:val="2"/>
            <w:vMerge w:val="continue"/>
            <w:vAlign w:val="center"/>
          </w:tcPr>
          <w:p>
            <w:pPr>
              <w:widowControl/>
              <w:jc w:val="left"/>
              <w:rPr>
                <w:rFonts w:ascii="宋体" w:hAnsi="宋体" w:eastAsia="宋体" w:cs="宋体"/>
                <w:kern w:val="0"/>
                <w:sz w:val="20"/>
                <w:szCs w:val="20"/>
              </w:rPr>
            </w:pPr>
          </w:p>
        </w:tc>
        <w:tc>
          <w:tcPr>
            <w:tcW w:w="5103" w:type="dxa"/>
            <w:gridSpan w:val="2"/>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空调系统的控制和计量</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空调设备的控制逻辑</w:t>
            </w:r>
          </w:p>
        </w:tc>
        <w:tc>
          <w:tcPr>
            <w:tcW w:w="4253"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系统冷热源、输配系统设置了独立分项计量；锅炉房、换热机房、制冷机房对燃料消耗量、耗电量、集中供热系统的供热量、补水量设置独立计量；不同产权与物业归属房间空调供冷供热量分户计量方式合理。</w:t>
            </w:r>
            <w:r>
              <w:rPr>
                <w:rFonts w:ascii="宋体" w:hAnsi="宋体" w:eastAsia="宋体" w:cs="宋体"/>
                <w:kern w:val="0"/>
                <w:sz w:val="20"/>
                <w:szCs w:val="20"/>
              </w:rPr>
              <w:br w:type="textWrapping"/>
            </w:r>
            <w:r>
              <w:rPr>
                <w:rFonts w:hint="eastAsia" w:ascii="宋体" w:hAnsi="宋体" w:eastAsia="宋体" w:cs="宋体"/>
                <w:kern w:val="0"/>
                <w:sz w:val="20"/>
                <w:szCs w:val="20"/>
              </w:rPr>
              <w:t>□空调设备控制逻辑合理，满足部分负荷及分区分室控制要求</w:t>
            </w:r>
            <w:r>
              <w:rPr>
                <w:rFonts w:ascii="宋体" w:hAnsi="宋体" w:eastAsia="宋体" w:cs="宋体"/>
                <w:kern w:val="0"/>
                <w:sz w:val="20"/>
                <w:szCs w:val="20"/>
              </w:rPr>
              <w:br w:type="textWrapping"/>
            </w:r>
            <w:r>
              <w:rPr>
                <w:rFonts w:hint="eastAsia" w:ascii="宋体" w:hAnsi="宋体" w:eastAsia="宋体" w:cs="宋体"/>
                <w:kern w:val="0"/>
                <w:sz w:val="20"/>
                <w:szCs w:val="20"/>
              </w:rPr>
              <w:t>□地下汽车库设置</w:t>
            </w:r>
            <w:r>
              <w:rPr>
                <w:rFonts w:ascii="宋体" w:hAnsi="宋体" w:eastAsia="宋体" w:cs="宋体"/>
                <w:kern w:val="0"/>
                <w:sz w:val="20"/>
                <w:szCs w:val="20"/>
              </w:rPr>
              <w:t>CO传感器风量控制</w:t>
            </w:r>
            <w:r>
              <w:rPr>
                <w:rFonts w:ascii="宋体" w:hAnsi="宋体" w:eastAsia="宋体" w:cs="宋体"/>
                <w:kern w:val="0"/>
                <w:sz w:val="20"/>
                <w:szCs w:val="20"/>
              </w:rPr>
              <w:br w:type="textWrapping"/>
            </w:r>
            <w:r>
              <w:rPr>
                <w:rFonts w:hint="eastAsia" w:ascii="宋体" w:hAnsi="宋体" w:eastAsia="宋体" w:cs="宋体"/>
                <w:kern w:val="0"/>
                <w:sz w:val="20"/>
                <w:szCs w:val="20"/>
              </w:rPr>
              <w:t>□设置集中通风空调系统的公共建筑，在人员密度高、流量集中且随时间变化大的空间，设置全空气系统或者单一空间设置独立的新风系统，应设置</w:t>
            </w:r>
            <w:r>
              <w:rPr>
                <w:rFonts w:ascii="宋体" w:hAnsi="宋体" w:eastAsia="宋体" w:cs="宋体"/>
                <w:kern w:val="0"/>
                <w:sz w:val="20"/>
                <w:szCs w:val="20"/>
              </w:rPr>
              <w:t>CO2浓度检测装置，并联动控制空调通风系统</w:t>
            </w:r>
          </w:p>
        </w:tc>
        <w:tc>
          <w:tcPr>
            <w:tcW w:w="4819" w:type="dxa"/>
            <w:gridSpan w:val="2"/>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系统冷热源、输配系统设置了独立分项计量；锅炉房、换热机房、制冷机房对燃料消耗量、耗电量、集中供热系统的供热量、补水量设置独立计量；不同产权与物业归属房间空调供冷供热量分户计量方式合理。</w:t>
            </w:r>
            <w:r>
              <w:rPr>
                <w:rFonts w:ascii="宋体" w:hAnsi="宋体" w:eastAsia="宋体" w:cs="宋体"/>
                <w:kern w:val="0"/>
                <w:sz w:val="20"/>
                <w:szCs w:val="20"/>
              </w:rPr>
              <w:br w:type="textWrapping"/>
            </w:r>
            <w:r>
              <w:rPr>
                <w:rFonts w:hint="eastAsia" w:ascii="宋体" w:hAnsi="宋体" w:eastAsia="宋体" w:cs="宋体"/>
                <w:kern w:val="0"/>
                <w:sz w:val="20"/>
                <w:szCs w:val="20"/>
              </w:rPr>
              <w:t>□空调设备控制逻辑合理，满足部分负荷及分区分室控制要求</w:t>
            </w:r>
            <w:r>
              <w:rPr>
                <w:rFonts w:ascii="宋体" w:hAnsi="宋体" w:eastAsia="宋体" w:cs="宋体"/>
                <w:kern w:val="0"/>
                <w:sz w:val="20"/>
                <w:szCs w:val="20"/>
              </w:rPr>
              <w:br w:type="textWrapping"/>
            </w:r>
            <w:r>
              <w:rPr>
                <w:rFonts w:hint="eastAsia" w:ascii="宋体" w:hAnsi="宋体" w:eastAsia="宋体" w:cs="宋体"/>
                <w:kern w:val="0"/>
                <w:sz w:val="20"/>
                <w:szCs w:val="20"/>
              </w:rPr>
              <w:t>□地下汽车库设置</w:t>
            </w:r>
            <w:r>
              <w:rPr>
                <w:rFonts w:ascii="宋体" w:hAnsi="宋体" w:eastAsia="宋体" w:cs="宋体"/>
                <w:kern w:val="0"/>
                <w:sz w:val="20"/>
                <w:szCs w:val="20"/>
              </w:rPr>
              <w:t>CO传感器风量控制</w:t>
            </w:r>
            <w:r>
              <w:rPr>
                <w:rFonts w:ascii="宋体" w:hAnsi="宋体" w:eastAsia="宋体" w:cs="宋体"/>
                <w:kern w:val="0"/>
                <w:sz w:val="20"/>
                <w:szCs w:val="20"/>
              </w:rPr>
              <w:br w:type="textWrapping"/>
            </w:r>
            <w:r>
              <w:rPr>
                <w:rFonts w:hint="eastAsia" w:ascii="宋体" w:hAnsi="宋体" w:eastAsia="宋体" w:cs="宋体"/>
                <w:kern w:val="0"/>
                <w:sz w:val="20"/>
                <w:szCs w:val="20"/>
              </w:rPr>
              <w:t>□设置集中通风空调系统的公共建筑，在人员密度高、流量集中且随时间变化大的空间，设置全空气系统或者单一空间设置独立的新风系统，应设置</w:t>
            </w:r>
            <w:r>
              <w:rPr>
                <w:rFonts w:ascii="宋体" w:hAnsi="宋体" w:eastAsia="宋体" w:cs="宋体"/>
                <w:kern w:val="0"/>
                <w:sz w:val="20"/>
                <w:szCs w:val="20"/>
              </w:rPr>
              <w:t>CO2浓度检测装置，并联动控制空调通风系统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□对于人员停留的主要功能房间，应设置包含</w:t>
            </w:r>
            <w:r>
              <w:rPr>
                <w:rFonts w:ascii="宋体" w:hAnsi="宋体" w:eastAsia="宋体" w:cs="宋体"/>
                <w:kern w:val="0"/>
                <w:sz w:val="20"/>
                <w:szCs w:val="20"/>
              </w:rPr>
              <w:t>CO2</w:t>
            </w:r>
            <w:r>
              <w:rPr>
                <w:rFonts w:hint="eastAsia" w:ascii="宋体" w:hAnsi="宋体" w:eastAsia="宋体" w:cs="宋体"/>
                <w:kern w:val="0"/>
                <w:sz w:val="20"/>
                <w:szCs w:val="20"/>
              </w:rPr>
              <w:t>、</w:t>
            </w:r>
            <w:r>
              <w:rPr>
                <w:rFonts w:ascii="宋体" w:hAnsi="宋体" w:eastAsia="宋体" w:cs="宋体"/>
                <w:kern w:val="0"/>
                <w:sz w:val="20"/>
                <w:szCs w:val="20"/>
              </w:rPr>
              <w:t>PM2.5及PM10的测量功能的室内空气质量检测系统</w:t>
            </w:r>
            <w:r>
              <w:rPr>
                <w:rFonts w:hint="eastAsia" w:ascii="宋体" w:hAnsi="宋体" w:eastAsia="宋体" w:cs="宋体"/>
                <w:kern w:val="0"/>
                <w:sz w:val="20"/>
                <w:szCs w:val="20"/>
              </w:rPr>
              <w:t>，</w:t>
            </w:r>
            <w:r>
              <w:rPr>
                <w:rFonts w:ascii="宋体" w:hAnsi="宋体" w:eastAsia="宋体" w:cs="宋体"/>
                <w:kern w:val="0"/>
                <w:sz w:val="20"/>
                <w:szCs w:val="20"/>
              </w:rPr>
              <w:t>并具备定时连续测量</w:t>
            </w:r>
            <w:r>
              <w:rPr>
                <w:rFonts w:hint="eastAsia" w:ascii="宋体" w:hAnsi="宋体" w:eastAsia="宋体" w:cs="宋体"/>
                <w:kern w:val="0"/>
                <w:sz w:val="20"/>
                <w:szCs w:val="20"/>
              </w:rPr>
              <w:t>、</w:t>
            </w:r>
            <w:r>
              <w:rPr>
                <w:rFonts w:ascii="宋体" w:hAnsi="宋体" w:eastAsia="宋体" w:cs="宋体"/>
                <w:kern w:val="0"/>
                <w:sz w:val="20"/>
                <w:szCs w:val="20"/>
              </w:rPr>
              <w:t>显示</w:t>
            </w:r>
            <w:r>
              <w:rPr>
                <w:rFonts w:hint="eastAsia" w:ascii="宋体" w:hAnsi="宋体" w:eastAsia="宋体" w:cs="宋体"/>
                <w:kern w:val="0"/>
                <w:sz w:val="20"/>
                <w:szCs w:val="20"/>
              </w:rPr>
              <w:t>、</w:t>
            </w:r>
            <w:r>
              <w:rPr>
                <w:rFonts w:ascii="宋体" w:hAnsi="宋体" w:eastAsia="宋体" w:cs="宋体"/>
                <w:kern w:val="0"/>
                <w:sz w:val="20"/>
                <w:szCs w:val="20"/>
              </w:rPr>
              <w:t>记录和数据传输功能</w:t>
            </w:r>
            <w:r>
              <w:rPr>
                <w:rFonts w:hint="eastAsia" w:ascii="宋体" w:hAnsi="宋体" w:eastAsia="宋体" w:cs="宋体"/>
                <w:kern w:val="0"/>
                <w:sz w:val="20"/>
                <w:szCs w:val="20"/>
              </w:rPr>
              <w:t>，</w:t>
            </w:r>
            <w:r>
              <w:rPr>
                <w:rFonts w:ascii="宋体" w:hAnsi="宋体" w:eastAsia="宋体" w:cs="宋体"/>
                <w:kern w:val="0"/>
                <w:sz w:val="20"/>
                <w:szCs w:val="20"/>
              </w:rPr>
              <w:t>监测系统对污染物的采样周期不大于10min</w:t>
            </w:r>
            <w:r>
              <w:rPr>
                <w:rFonts w:hint="eastAsia" w:ascii="宋体" w:hAnsi="宋体" w:eastAsia="宋体" w:cs="宋体"/>
                <w:kern w:val="0"/>
                <w:sz w:val="20"/>
                <w:szCs w:val="20"/>
              </w:rPr>
              <w:t>。</w:t>
            </w:r>
          </w:p>
        </w:tc>
        <w:tc>
          <w:tcPr>
            <w:tcW w:w="5103" w:type="dxa"/>
            <w:gridSpan w:val="2"/>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系统冷热源、输配系统设置了独立分项计量；锅炉房、换热机房、制冷机房对燃料消耗量、耗电量、集中供热系统的供热量、补水量设置独立计量；不同产权与物业归属房间空调供冷供热量分户计量方式合理。</w:t>
            </w:r>
            <w:r>
              <w:rPr>
                <w:rFonts w:ascii="宋体" w:hAnsi="宋体" w:eastAsia="宋体" w:cs="宋体"/>
                <w:kern w:val="0"/>
                <w:sz w:val="20"/>
                <w:szCs w:val="20"/>
              </w:rPr>
              <w:br w:type="textWrapping"/>
            </w:r>
            <w:r>
              <w:rPr>
                <w:rFonts w:hint="eastAsia" w:ascii="宋体" w:hAnsi="宋体" w:eastAsia="宋体" w:cs="宋体"/>
                <w:kern w:val="0"/>
                <w:sz w:val="20"/>
                <w:szCs w:val="20"/>
              </w:rPr>
              <w:t>□空调设备控制逻辑合理，满足部分负荷及分区分室控制要求</w:t>
            </w:r>
            <w:r>
              <w:rPr>
                <w:rFonts w:ascii="宋体" w:hAnsi="宋体" w:eastAsia="宋体" w:cs="宋体"/>
                <w:kern w:val="0"/>
                <w:sz w:val="20"/>
                <w:szCs w:val="20"/>
              </w:rPr>
              <w:br w:type="textWrapping"/>
            </w:r>
            <w:r>
              <w:rPr>
                <w:rFonts w:hint="eastAsia" w:ascii="宋体" w:hAnsi="宋体" w:eastAsia="宋体" w:cs="宋体"/>
                <w:kern w:val="0"/>
                <w:sz w:val="20"/>
                <w:szCs w:val="20"/>
              </w:rPr>
              <w:t>□地下汽车库设置</w:t>
            </w:r>
            <w:r>
              <w:rPr>
                <w:rFonts w:ascii="宋体" w:hAnsi="宋体" w:eastAsia="宋体" w:cs="宋体"/>
                <w:kern w:val="0"/>
                <w:sz w:val="20"/>
                <w:szCs w:val="20"/>
              </w:rPr>
              <w:t>CO传感器风量控制</w:t>
            </w:r>
            <w:r>
              <w:rPr>
                <w:rFonts w:ascii="宋体" w:hAnsi="宋体" w:eastAsia="宋体" w:cs="宋体"/>
                <w:kern w:val="0"/>
                <w:sz w:val="20"/>
                <w:szCs w:val="20"/>
              </w:rPr>
              <w:br w:type="textWrapping"/>
            </w:r>
            <w:r>
              <w:rPr>
                <w:rFonts w:hint="eastAsia" w:ascii="宋体" w:hAnsi="宋体" w:eastAsia="宋体" w:cs="宋体"/>
                <w:kern w:val="0"/>
                <w:sz w:val="20"/>
                <w:szCs w:val="20"/>
              </w:rPr>
              <w:t>□设置集中通风空调系统的公共建筑，在人员密度高、流量集中且随时间变化大的空间，设置全空气系统或者单一空间设置独立的新风系统，应设置</w:t>
            </w:r>
            <w:r>
              <w:rPr>
                <w:rFonts w:ascii="宋体" w:hAnsi="宋体" w:eastAsia="宋体" w:cs="宋体"/>
                <w:kern w:val="0"/>
                <w:sz w:val="20"/>
                <w:szCs w:val="20"/>
              </w:rPr>
              <w:t>CO2浓度检测装置，并联动控制空调通风系统</w:t>
            </w:r>
            <w:r>
              <w:rPr>
                <w:rFonts w:ascii="宋体" w:hAnsi="宋体" w:eastAsia="宋体" w:cs="宋体"/>
                <w:kern w:val="0"/>
                <w:sz w:val="20"/>
                <w:szCs w:val="20"/>
              </w:rPr>
              <w:br w:type="textWrapping"/>
            </w:r>
            <w:r>
              <w:rPr>
                <w:rFonts w:hint="eastAsia" w:ascii="宋体" w:hAnsi="宋体" w:eastAsia="宋体" w:cs="宋体"/>
                <w:kern w:val="0"/>
                <w:sz w:val="20"/>
                <w:szCs w:val="20"/>
              </w:rPr>
              <w:t>□对于人员停留的主要功能房间，应设置包含</w:t>
            </w:r>
            <w:r>
              <w:rPr>
                <w:rFonts w:ascii="宋体" w:hAnsi="宋体" w:eastAsia="宋体" w:cs="宋体"/>
                <w:kern w:val="0"/>
                <w:sz w:val="20"/>
                <w:szCs w:val="20"/>
              </w:rPr>
              <w:t>CO2</w:t>
            </w:r>
            <w:r>
              <w:rPr>
                <w:rFonts w:hint="eastAsia" w:ascii="宋体" w:hAnsi="宋体" w:eastAsia="宋体" w:cs="宋体"/>
                <w:kern w:val="0"/>
                <w:sz w:val="20"/>
                <w:szCs w:val="20"/>
              </w:rPr>
              <w:t>、</w:t>
            </w:r>
            <w:r>
              <w:rPr>
                <w:rFonts w:ascii="宋体" w:hAnsi="宋体" w:eastAsia="宋体" w:cs="宋体"/>
                <w:kern w:val="0"/>
                <w:sz w:val="20"/>
                <w:szCs w:val="20"/>
              </w:rPr>
              <w:t>PM2.5及PM10的测量功能的室内空气质量检测系统</w:t>
            </w:r>
            <w:r>
              <w:rPr>
                <w:rFonts w:hint="eastAsia" w:ascii="宋体" w:hAnsi="宋体" w:eastAsia="宋体" w:cs="宋体"/>
                <w:kern w:val="0"/>
                <w:sz w:val="20"/>
                <w:szCs w:val="20"/>
              </w:rPr>
              <w:t>，</w:t>
            </w:r>
            <w:r>
              <w:rPr>
                <w:rFonts w:ascii="宋体" w:hAnsi="宋体" w:eastAsia="宋体" w:cs="宋体"/>
                <w:kern w:val="0"/>
                <w:sz w:val="20"/>
                <w:szCs w:val="20"/>
              </w:rPr>
              <w:t>并具备定时连续测量</w:t>
            </w:r>
            <w:r>
              <w:rPr>
                <w:rFonts w:hint="eastAsia" w:ascii="宋体" w:hAnsi="宋体" w:eastAsia="宋体" w:cs="宋体"/>
                <w:kern w:val="0"/>
                <w:sz w:val="20"/>
                <w:szCs w:val="20"/>
              </w:rPr>
              <w:t>、</w:t>
            </w:r>
            <w:r>
              <w:rPr>
                <w:rFonts w:ascii="宋体" w:hAnsi="宋体" w:eastAsia="宋体" w:cs="宋体"/>
                <w:kern w:val="0"/>
                <w:sz w:val="20"/>
                <w:szCs w:val="20"/>
              </w:rPr>
              <w:t>显示</w:t>
            </w:r>
            <w:r>
              <w:rPr>
                <w:rFonts w:hint="eastAsia" w:ascii="宋体" w:hAnsi="宋体" w:eastAsia="宋体" w:cs="宋体"/>
                <w:kern w:val="0"/>
                <w:sz w:val="20"/>
                <w:szCs w:val="20"/>
              </w:rPr>
              <w:t>、</w:t>
            </w:r>
            <w:r>
              <w:rPr>
                <w:rFonts w:ascii="宋体" w:hAnsi="宋体" w:eastAsia="宋体" w:cs="宋体"/>
                <w:kern w:val="0"/>
                <w:sz w:val="20"/>
                <w:szCs w:val="20"/>
              </w:rPr>
              <w:t>记录和数据传输功能</w:t>
            </w:r>
            <w:r>
              <w:rPr>
                <w:rFonts w:hint="eastAsia" w:ascii="宋体" w:hAnsi="宋体" w:eastAsia="宋体" w:cs="宋体"/>
                <w:kern w:val="0"/>
                <w:sz w:val="20"/>
                <w:szCs w:val="20"/>
              </w:rPr>
              <w:t>，</w:t>
            </w:r>
            <w:r>
              <w:rPr>
                <w:rFonts w:ascii="宋体" w:hAnsi="宋体" w:eastAsia="宋体" w:cs="宋体"/>
                <w:kern w:val="0"/>
                <w:sz w:val="20"/>
                <w:szCs w:val="20"/>
              </w:rPr>
              <w:t>监测系统对污染物的采样周期不大于10min</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□公共建筑中多联式空调（热泵）系统应设置集中控制系统。</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空调计量的设置要求等内容</w:t>
            </w:r>
          </w:p>
        </w:tc>
        <w:tc>
          <w:tcPr>
            <w:tcW w:w="4253" w:type="dxa"/>
            <w:vMerge w:val="continue"/>
            <w:vAlign w:val="center"/>
          </w:tcPr>
          <w:p>
            <w:pPr>
              <w:widowControl/>
              <w:jc w:val="left"/>
              <w:rPr>
                <w:rFonts w:ascii="宋体" w:hAnsi="宋体" w:eastAsia="宋体" w:cs="宋体"/>
                <w:kern w:val="0"/>
                <w:sz w:val="20"/>
                <w:szCs w:val="20"/>
              </w:rPr>
            </w:pPr>
          </w:p>
        </w:tc>
        <w:tc>
          <w:tcPr>
            <w:tcW w:w="4819" w:type="dxa"/>
            <w:gridSpan w:val="2"/>
            <w:vMerge w:val="continue"/>
            <w:vAlign w:val="center"/>
          </w:tcPr>
          <w:p>
            <w:pPr>
              <w:widowControl/>
              <w:jc w:val="left"/>
              <w:rPr>
                <w:rFonts w:ascii="宋体" w:hAnsi="宋体" w:eastAsia="宋体" w:cs="宋体"/>
                <w:kern w:val="0"/>
                <w:sz w:val="20"/>
                <w:szCs w:val="20"/>
              </w:rPr>
            </w:pPr>
          </w:p>
        </w:tc>
        <w:tc>
          <w:tcPr>
            <w:tcW w:w="5103" w:type="dxa"/>
            <w:gridSpan w:val="2"/>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环保</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主要污染物的排放性质、排放位置等内容。</w:t>
            </w:r>
          </w:p>
        </w:tc>
        <w:tc>
          <w:tcPr>
            <w:tcW w:w="14175" w:type="dxa"/>
            <w:gridSpan w:val="5"/>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□污染物排放满足现行浙江省《绿色建筑设计标准》</w:t>
            </w:r>
            <w:r>
              <w:rPr>
                <w:rFonts w:ascii="宋体" w:hAnsi="宋体" w:eastAsia="宋体" w:cs="宋体"/>
                <w:kern w:val="0"/>
                <w:sz w:val="20"/>
                <w:szCs w:val="20"/>
              </w:rPr>
              <w:t>DB33/1092的要求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□吸烟室、复印室、打印室、垃圾间、清洁间、公共卫生间等产生异味或污染物的房间，设置机械排风系统。住宅厨房及卫生间的排气道的设计复核国家标准，并采取放倒灌的措施。</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5"/>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253"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819" w:type="dxa"/>
            <w:gridSpan w:val="2"/>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5103" w:type="dxa"/>
            <w:gridSpan w:val="2"/>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暖通空调用能设备系统</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设计图纸</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供热通风空调系统主要用能设备表：平时使用的主要供热通风空调设备与能耗及节能措施相关的主要技术参数和数量等内容</w:t>
            </w:r>
          </w:p>
        </w:tc>
        <w:tc>
          <w:tcPr>
            <w:tcW w:w="14175" w:type="dxa"/>
            <w:gridSpan w:val="5"/>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□空调冷热源设备的总装机容量应满足现行国家、地方规范与标准的要求；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□空调冷热源设备的效率应符合国家和地方现行节能规范与标准的要求；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□空调冷热源配置数量与预期运行策略能满足不同负荷率的调节需求；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□多联式空调（热泵）室内外机配比率应满足产品要求且符合项目特点；</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□空调冷热源设备位置应合理，室外散热条件应良好，并满足相关国家、地方规范与标准的要求。</w:t>
            </w:r>
          </w:p>
          <w:p>
            <w:pPr>
              <w:spacing w:line="314" w:lineRule="exact"/>
              <w:rPr>
                <w:rFonts w:cs="Arial"/>
                <w:snapToGrid w:val="0"/>
                <w:kern w:val="0"/>
                <w:sz w:val="20"/>
                <w:szCs w:val="20"/>
              </w:rPr>
            </w:pPr>
            <w:r>
              <w:rPr>
                <w:rFonts w:hint="eastAsia" w:ascii="宋体" w:hAnsi="宋体" w:eastAsia="宋体" w:cs="宋体"/>
                <w:kern w:val="0"/>
                <w:sz w:val="20"/>
                <w:szCs w:val="20"/>
              </w:rPr>
              <w:t>□</w:t>
            </w:r>
            <w:r>
              <w:rPr>
                <w:rFonts w:hint="eastAsia" w:cs="Arial"/>
                <w:snapToGrid w:val="0"/>
                <w:kern w:val="0"/>
                <w:sz w:val="20"/>
                <w:szCs w:val="20"/>
              </w:rPr>
              <w:t>水输配系统设备效率、耗电输冷比、耗电输热比、多联式空调系统冷媒管等效长度下满负荷运行性能系数、大于</w:t>
            </w:r>
            <w:r>
              <w:rPr>
                <w:rFonts w:cs="Arial"/>
                <w:snapToGrid w:val="0"/>
                <w:kern w:val="0"/>
                <w:sz w:val="20"/>
                <w:szCs w:val="20"/>
              </w:rPr>
              <w:t>10000m</w:t>
            </w:r>
            <w:r>
              <w:rPr>
                <w:rFonts w:cs="Arial"/>
                <w:snapToGrid w:val="0"/>
                <w:kern w:val="0"/>
                <w:sz w:val="20"/>
                <w:szCs w:val="20"/>
                <w:vertAlign w:val="superscript"/>
              </w:rPr>
              <w:t>3</w:t>
            </w:r>
            <w:r>
              <w:rPr>
                <w:rFonts w:cs="Arial"/>
                <w:snapToGrid w:val="0"/>
                <w:kern w:val="0"/>
                <w:sz w:val="20"/>
                <w:szCs w:val="20"/>
              </w:rPr>
              <w:t>/h</w:t>
            </w:r>
            <w:r>
              <w:rPr>
                <w:rFonts w:hint="eastAsia" w:cs="Arial"/>
                <w:snapToGrid w:val="0"/>
                <w:kern w:val="0"/>
                <w:sz w:val="20"/>
                <w:szCs w:val="20"/>
              </w:rPr>
              <w:t>风量的风输配系统设备效率、单位风量耗功率</w:t>
            </w:r>
            <w:r>
              <w:rPr>
                <w:rFonts w:cs="Arial"/>
                <w:snapToGrid w:val="0"/>
                <w:kern w:val="0"/>
                <w:sz w:val="20"/>
                <w:szCs w:val="20"/>
              </w:rPr>
              <w:t>Ws</w:t>
            </w:r>
            <w:r>
              <w:rPr>
                <w:rFonts w:hint="eastAsia" w:cs="Arial"/>
                <w:snapToGrid w:val="0"/>
                <w:kern w:val="0"/>
                <w:sz w:val="20"/>
                <w:szCs w:val="20"/>
              </w:rPr>
              <w:t>应满足现行国家、地方节能规范与标准的要求；</w:t>
            </w:r>
          </w:p>
          <w:p>
            <w:pPr>
              <w:spacing w:line="314" w:lineRule="exact"/>
              <w:rPr>
                <w:rFonts w:cs="Arial"/>
                <w:snapToGrid w:val="0"/>
                <w:kern w:val="0"/>
                <w:sz w:val="20"/>
                <w:szCs w:val="20"/>
              </w:rPr>
            </w:pPr>
            <w:r>
              <w:rPr>
                <w:rFonts w:hint="eastAsia" w:ascii="宋体" w:hAnsi="宋体" w:eastAsia="宋体" w:cs="宋体"/>
                <w:kern w:val="0"/>
                <w:sz w:val="20"/>
                <w:szCs w:val="20"/>
              </w:rPr>
              <w:t>□</w:t>
            </w:r>
            <w:r>
              <w:rPr>
                <w:rFonts w:hint="eastAsia" w:cs="Arial"/>
                <w:snapToGrid w:val="0"/>
                <w:kern w:val="0"/>
                <w:sz w:val="20"/>
                <w:szCs w:val="20"/>
              </w:rPr>
              <w:t>空调输配系统分区合理、可行，满足运营特点；</w:t>
            </w:r>
          </w:p>
          <w:p>
            <w:pPr>
              <w:spacing w:line="314" w:lineRule="exact"/>
              <w:rPr>
                <w:rFonts w:cs="Arial"/>
                <w:snapToGrid w:val="0"/>
                <w:kern w:val="0"/>
                <w:sz w:val="20"/>
                <w:szCs w:val="20"/>
              </w:rPr>
            </w:pPr>
            <w:r>
              <w:rPr>
                <w:rFonts w:hint="eastAsia" w:ascii="宋体" w:hAnsi="宋体" w:eastAsia="宋体" w:cs="宋体"/>
                <w:kern w:val="0"/>
                <w:sz w:val="20"/>
                <w:szCs w:val="20"/>
              </w:rPr>
              <w:t>□</w:t>
            </w:r>
            <w:r>
              <w:rPr>
                <w:rFonts w:hint="eastAsia" w:cs="Arial"/>
                <w:snapToGrid w:val="0"/>
                <w:kern w:val="0"/>
                <w:sz w:val="20"/>
                <w:szCs w:val="20"/>
              </w:rPr>
              <w:t>空调输配系统的流速合理；系统的比摩阻应在合理范围内；输配系统的作用半径应合理。</w:t>
            </w:r>
          </w:p>
          <w:p>
            <w:pPr>
              <w:spacing w:line="314" w:lineRule="exact"/>
              <w:rPr>
                <w:rFonts w:cs="Arial"/>
                <w:snapToGrid w:val="0"/>
                <w:kern w:val="0"/>
                <w:sz w:val="20"/>
                <w:szCs w:val="20"/>
              </w:rPr>
            </w:pPr>
            <w:r>
              <w:rPr>
                <w:rFonts w:hint="eastAsia" w:ascii="宋体" w:hAnsi="宋体" w:eastAsia="宋体" w:cs="宋体"/>
                <w:kern w:val="0"/>
                <w:sz w:val="20"/>
                <w:szCs w:val="20"/>
              </w:rPr>
              <w:t>□</w:t>
            </w:r>
            <w:r>
              <w:rPr>
                <w:rFonts w:hint="eastAsia" w:cs="Arial"/>
                <w:snapToGrid w:val="0"/>
                <w:kern w:val="0"/>
                <w:sz w:val="20"/>
                <w:szCs w:val="20"/>
              </w:rPr>
              <w:t>暖通空调末端的方式、气流组织形式符合项目特点；</w:t>
            </w:r>
          </w:p>
          <w:p>
            <w:pPr>
              <w:spacing w:line="314" w:lineRule="exact"/>
              <w:rPr>
                <w:rFonts w:cs="Arial"/>
                <w:snapToGrid w:val="0"/>
                <w:kern w:val="0"/>
                <w:sz w:val="20"/>
                <w:szCs w:val="20"/>
              </w:rPr>
            </w:pPr>
            <w:r>
              <w:rPr>
                <w:rFonts w:hint="eastAsia" w:ascii="宋体" w:hAnsi="宋体" w:eastAsia="宋体" w:cs="宋体"/>
                <w:kern w:val="0"/>
                <w:sz w:val="20"/>
                <w:szCs w:val="20"/>
              </w:rPr>
              <w:t>□</w:t>
            </w:r>
            <w:r>
              <w:rPr>
                <w:rFonts w:hint="eastAsia" w:cs="Arial"/>
                <w:snapToGrid w:val="0"/>
                <w:kern w:val="0"/>
                <w:sz w:val="20"/>
                <w:szCs w:val="20"/>
              </w:rPr>
              <w:t>各主要功能房间的供暖空调末端装置独立可调节；</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供热通风空调系统的冷热源位置、布置：冷热源机房或机组的位置平面；冷热源流程图；冷却塔或其他设备散热散冷平面等内容</w:t>
            </w:r>
          </w:p>
        </w:tc>
        <w:tc>
          <w:tcPr>
            <w:tcW w:w="14175" w:type="dxa"/>
            <w:gridSpan w:val="5"/>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空调风系统、水系统或冷媒系统分区平面：空调末端设备；平时用风机设备平面布置平面；风系统、水系统或冷媒系统干管或分区平面等内容</w:t>
            </w:r>
          </w:p>
        </w:tc>
        <w:tc>
          <w:tcPr>
            <w:tcW w:w="14175" w:type="dxa"/>
            <w:gridSpan w:val="5"/>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电气与智能化</w:t>
            </w: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变、配、发电系统</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负荷等级、容量、供电电压等级；</w:t>
            </w:r>
          </w:p>
        </w:tc>
        <w:tc>
          <w:tcPr>
            <w:tcW w:w="14175" w:type="dxa"/>
            <w:gridSpan w:val="5"/>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□负荷等级的确定符合规范要求</w:t>
            </w:r>
            <w:r>
              <w:rPr>
                <w:rFonts w:ascii="宋体" w:hAnsi="宋体" w:eastAsia="宋体" w:cs="宋体"/>
                <w:kern w:val="0"/>
                <w:sz w:val="20"/>
                <w:szCs w:val="20"/>
              </w:rPr>
              <w:br w:type="textWrapping"/>
            </w:r>
            <w:r>
              <w:rPr>
                <w:rFonts w:hint="eastAsia" w:ascii="宋体" w:hAnsi="宋体" w:eastAsia="宋体" w:cs="宋体"/>
                <w:kern w:val="0"/>
                <w:sz w:val="20"/>
                <w:szCs w:val="20"/>
              </w:rPr>
              <w:t>□负荷容量的计算方法满足要求、取值合理</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□供电电压等级合理</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变、配、发电站的位置、数量、容量；</w:t>
            </w:r>
          </w:p>
        </w:tc>
        <w:tc>
          <w:tcPr>
            <w:tcW w:w="14175" w:type="dxa"/>
            <w:gridSpan w:val="5"/>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□变压器、自备电源的数量、容量、负载率合理</w:t>
            </w:r>
            <w:r>
              <w:rPr>
                <w:rFonts w:ascii="宋体" w:hAnsi="宋体" w:eastAsia="宋体" w:cs="宋体"/>
                <w:kern w:val="0"/>
                <w:sz w:val="20"/>
                <w:szCs w:val="20"/>
              </w:rPr>
              <w:br w:type="textWrapping"/>
            </w:r>
            <w:r>
              <w:rPr>
                <w:rFonts w:hint="eastAsia" w:ascii="宋体" w:hAnsi="宋体" w:eastAsia="宋体" w:cs="宋体"/>
                <w:kern w:val="0"/>
                <w:sz w:val="20"/>
                <w:szCs w:val="20"/>
              </w:rPr>
              <w:t>□变、配、发电站位置靠近负荷中心、供电范围合理</w:t>
            </w: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合理控制低压供电半径；</w:t>
            </w:r>
          </w:p>
        </w:tc>
        <w:tc>
          <w:tcPr>
            <w:tcW w:w="4536"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□不大于</w:t>
            </w:r>
            <w:r>
              <w:rPr>
                <w:rFonts w:ascii="宋体" w:hAnsi="宋体" w:eastAsia="宋体" w:cs="宋体"/>
                <w:kern w:val="0"/>
                <w:sz w:val="20"/>
                <w:szCs w:val="20"/>
              </w:rPr>
              <w:t>250米</w:t>
            </w:r>
          </w:p>
        </w:tc>
        <w:tc>
          <w:tcPr>
            <w:tcW w:w="4820"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□不大于</w:t>
            </w:r>
            <w:r>
              <w:rPr>
                <w:rFonts w:ascii="宋体" w:hAnsi="宋体" w:eastAsia="宋体" w:cs="宋体"/>
                <w:kern w:val="0"/>
                <w:sz w:val="20"/>
                <w:szCs w:val="20"/>
              </w:rPr>
              <w:t>250米</w:t>
            </w:r>
          </w:p>
        </w:tc>
        <w:tc>
          <w:tcPr>
            <w:tcW w:w="48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□不大于</w:t>
            </w:r>
            <w:r>
              <w:rPr>
                <w:rFonts w:ascii="宋体" w:hAnsi="宋体" w:eastAsia="宋体" w:cs="宋体"/>
                <w:kern w:val="0"/>
                <w:sz w:val="20"/>
                <w:szCs w:val="20"/>
              </w:rPr>
              <w:t>150米</w:t>
            </w: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变压器选型、运行方案；</w:t>
            </w:r>
          </w:p>
        </w:tc>
        <w:tc>
          <w:tcPr>
            <w:tcW w:w="14175" w:type="dxa"/>
            <w:gridSpan w:val="5"/>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□接线组别选择合理</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□变压器等的运行方案明确、利于节能；</w:t>
            </w:r>
          </w:p>
        </w:tc>
        <w:tc>
          <w:tcPr>
            <w:tcW w:w="1220" w:type="dxa"/>
            <w:vMerge w:val="restart"/>
            <w:shd w:val="clear" w:color="auto" w:fill="auto"/>
            <w:vAlign w:val="center"/>
          </w:tcPr>
          <w:p>
            <w:pPr>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变压器能效等级</w:t>
            </w:r>
          </w:p>
        </w:tc>
        <w:tc>
          <w:tcPr>
            <w:tcW w:w="4536" w:type="dxa"/>
            <w:gridSpan w:val="2"/>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 xml:space="preserve"> 3级</w:t>
            </w:r>
          </w:p>
        </w:tc>
        <w:tc>
          <w:tcPr>
            <w:tcW w:w="4820" w:type="dxa"/>
            <w:gridSpan w:val="2"/>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 xml:space="preserve"> 2级</w:t>
            </w:r>
          </w:p>
        </w:tc>
        <w:tc>
          <w:tcPr>
            <w:tcW w:w="4819"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 xml:space="preserve"> 1级</w:t>
            </w: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三相平衡</w:t>
            </w:r>
          </w:p>
        </w:tc>
        <w:tc>
          <w:tcPr>
            <w:tcW w:w="14175" w:type="dxa"/>
            <w:gridSpan w:val="5"/>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□单相负荷合理选择相位，使三相尽量平衡。最大相负荷不超过三相负荷平均值的</w:t>
            </w:r>
            <w:r>
              <w:rPr>
                <w:rFonts w:ascii="宋体" w:hAnsi="宋体" w:eastAsia="宋体" w:cs="宋体"/>
                <w:kern w:val="0"/>
                <w:sz w:val="20"/>
                <w:szCs w:val="20"/>
              </w:rPr>
              <w:t>115％，最小相负荷不小于三相负荷平均值的85％</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□三相供电的用户，照明、插座等同一类型的单相负荷不集中于同一相上</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无功补偿</w:t>
            </w:r>
          </w:p>
        </w:tc>
        <w:tc>
          <w:tcPr>
            <w:tcW w:w="14175" w:type="dxa"/>
            <w:gridSpan w:val="5"/>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□设置集中无功补偿装置；适当的分相补偿</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□单相负荷较多时设置适当的分相补偿</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□距变电所较远、无功功率大的设备（组）设置就地无功补偿</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谐波防治措施</w:t>
            </w:r>
          </w:p>
        </w:tc>
        <w:tc>
          <w:tcPr>
            <w:tcW w:w="4536"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□选用用电设备的谐波电流限值满足国家标准《电磁兼容</w:t>
            </w:r>
            <w:r>
              <w:rPr>
                <w:rFonts w:ascii="宋体" w:hAnsi="宋体" w:eastAsia="宋体" w:cs="宋体"/>
                <w:kern w:val="0"/>
                <w:sz w:val="20"/>
                <w:szCs w:val="20"/>
              </w:rPr>
              <w:t xml:space="preserve"> </w:t>
            </w:r>
            <w:r>
              <w:rPr>
                <w:rFonts w:hint="eastAsia" w:ascii="宋体" w:hAnsi="宋体" w:eastAsia="宋体" w:cs="宋体"/>
                <w:kern w:val="0"/>
                <w:sz w:val="20"/>
                <w:szCs w:val="20"/>
              </w:rPr>
              <w:t>限值</w:t>
            </w:r>
            <w:r>
              <w:rPr>
                <w:rFonts w:ascii="宋体" w:hAnsi="宋体" w:eastAsia="宋体" w:cs="宋体"/>
                <w:kern w:val="0"/>
                <w:sz w:val="20"/>
                <w:szCs w:val="20"/>
              </w:rPr>
              <w:t xml:space="preserve"> </w:t>
            </w:r>
            <w:r>
              <w:rPr>
                <w:rFonts w:hint="eastAsia" w:ascii="宋体" w:hAnsi="宋体" w:eastAsia="宋体" w:cs="宋体"/>
                <w:kern w:val="0"/>
                <w:sz w:val="20"/>
                <w:szCs w:val="20"/>
              </w:rPr>
              <w:t>谐波电流发射限值》</w:t>
            </w:r>
            <w:r>
              <w:rPr>
                <w:rFonts w:ascii="宋体" w:hAnsi="宋体" w:eastAsia="宋体" w:cs="宋体"/>
                <w:kern w:val="0"/>
                <w:sz w:val="20"/>
                <w:szCs w:val="20"/>
              </w:rPr>
              <w:t>GB17625.1的要求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□在变电所对供电系统进行谐波监测</w:t>
            </w:r>
            <w:r>
              <w:rPr>
                <w:rFonts w:ascii="宋体" w:hAnsi="宋体" w:eastAsia="宋体" w:cs="宋体"/>
                <w:kern w:val="0"/>
                <w:sz w:val="20"/>
                <w:szCs w:val="20"/>
              </w:rPr>
              <w:br w:type="textWrapping"/>
            </w:r>
            <w:r>
              <w:rPr>
                <w:rFonts w:hint="eastAsia" w:ascii="宋体" w:hAnsi="宋体" w:eastAsia="宋体" w:cs="宋体"/>
                <w:kern w:val="0"/>
                <w:sz w:val="20"/>
                <w:szCs w:val="20"/>
              </w:rPr>
              <w:t>□无功补偿电容串接电抗器，防止谐波放大</w:t>
            </w:r>
          </w:p>
        </w:tc>
        <w:tc>
          <w:tcPr>
            <w:tcW w:w="4820"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□选用用电设备的谐波电流限值满足国家标准《电磁兼容</w:t>
            </w:r>
            <w:r>
              <w:rPr>
                <w:rFonts w:ascii="宋体" w:hAnsi="宋体" w:eastAsia="宋体" w:cs="宋体"/>
                <w:kern w:val="0"/>
                <w:sz w:val="20"/>
                <w:szCs w:val="20"/>
              </w:rPr>
              <w:t xml:space="preserve"> </w:t>
            </w:r>
            <w:r>
              <w:rPr>
                <w:rFonts w:hint="eastAsia" w:ascii="宋体" w:hAnsi="宋体" w:eastAsia="宋体" w:cs="宋体"/>
                <w:kern w:val="0"/>
                <w:sz w:val="20"/>
                <w:szCs w:val="20"/>
              </w:rPr>
              <w:t>限值</w:t>
            </w:r>
            <w:r>
              <w:rPr>
                <w:rFonts w:ascii="宋体" w:hAnsi="宋体" w:eastAsia="宋体" w:cs="宋体"/>
                <w:kern w:val="0"/>
                <w:sz w:val="20"/>
                <w:szCs w:val="20"/>
              </w:rPr>
              <w:t xml:space="preserve"> </w:t>
            </w:r>
            <w:r>
              <w:rPr>
                <w:rFonts w:hint="eastAsia" w:ascii="宋体" w:hAnsi="宋体" w:eastAsia="宋体" w:cs="宋体"/>
                <w:kern w:val="0"/>
                <w:sz w:val="20"/>
                <w:szCs w:val="20"/>
              </w:rPr>
              <w:t>谐波电流发射限值》</w:t>
            </w:r>
            <w:r>
              <w:rPr>
                <w:rFonts w:ascii="宋体" w:hAnsi="宋体" w:eastAsia="宋体" w:cs="宋体"/>
                <w:kern w:val="0"/>
                <w:sz w:val="20"/>
                <w:szCs w:val="20"/>
              </w:rPr>
              <w:t>GB17625.1的要求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□在变电所对供电系统进行谐波监测</w:t>
            </w:r>
            <w:r>
              <w:rPr>
                <w:rFonts w:ascii="宋体" w:hAnsi="宋体" w:eastAsia="宋体" w:cs="宋体"/>
                <w:kern w:val="0"/>
                <w:sz w:val="20"/>
                <w:szCs w:val="20"/>
              </w:rPr>
              <w:br w:type="textWrapping"/>
            </w:r>
            <w:r>
              <w:rPr>
                <w:rFonts w:hint="eastAsia" w:ascii="宋体" w:hAnsi="宋体" w:eastAsia="宋体" w:cs="宋体"/>
                <w:kern w:val="0"/>
                <w:sz w:val="20"/>
                <w:szCs w:val="20"/>
              </w:rPr>
              <w:t>□无功补偿电容串接电抗器，防止谐波放大</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□功率较大、谐波严重的设备，由变电所专线供电；</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□在变电所设置滤波器或预留滤波器的柜位。</w:t>
            </w:r>
          </w:p>
        </w:tc>
        <w:tc>
          <w:tcPr>
            <w:tcW w:w="48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□选用用电设备的谐波电流限值满足国家标准：《电磁兼容</w:t>
            </w:r>
            <w:r>
              <w:rPr>
                <w:rFonts w:ascii="宋体" w:hAnsi="宋体" w:eastAsia="宋体" w:cs="宋体"/>
                <w:kern w:val="0"/>
                <w:sz w:val="20"/>
                <w:szCs w:val="20"/>
              </w:rPr>
              <w:t xml:space="preserve"> </w:t>
            </w:r>
            <w:r>
              <w:rPr>
                <w:rFonts w:hint="eastAsia" w:ascii="宋体" w:hAnsi="宋体" w:eastAsia="宋体" w:cs="宋体"/>
                <w:kern w:val="0"/>
                <w:sz w:val="20"/>
                <w:szCs w:val="20"/>
              </w:rPr>
              <w:t>限值</w:t>
            </w:r>
            <w:r>
              <w:rPr>
                <w:rFonts w:ascii="宋体" w:hAnsi="宋体" w:eastAsia="宋体" w:cs="宋体"/>
                <w:kern w:val="0"/>
                <w:sz w:val="20"/>
                <w:szCs w:val="20"/>
              </w:rPr>
              <w:t xml:space="preserve"> </w:t>
            </w:r>
            <w:r>
              <w:rPr>
                <w:rFonts w:hint="eastAsia" w:ascii="宋体" w:hAnsi="宋体" w:eastAsia="宋体" w:cs="宋体"/>
                <w:kern w:val="0"/>
                <w:sz w:val="20"/>
                <w:szCs w:val="20"/>
              </w:rPr>
              <w:t>谐波电流发射限值》</w:t>
            </w:r>
            <w:r>
              <w:rPr>
                <w:rFonts w:ascii="宋体" w:hAnsi="宋体" w:eastAsia="宋体" w:cs="宋体"/>
                <w:kern w:val="0"/>
                <w:sz w:val="20"/>
                <w:szCs w:val="20"/>
              </w:rPr>
              <w:t xml:space="preserve">GB17625.1、《电磁兼容 </w:t>
            </w:r>
            <w:r>
              <w:rPr>
                <w:rFonts w:hint="eastAsia" w:ascii="宋体" w:hAnsi="宋体" w:eastAsia="宋体" w:cs="宋体"/>
                <w:kern w:val="0"/>
                <w:sz w:val="20"/>
                <w:szCs w:val="20"/>
              </w:rPr>
              <w:t>限值</w:t>
            </w:r>
            <w:r>
              <w:rPr>
                <w:rFonts w:ascii="宋体" w:hAnsi="宋体" w:eastAsia="宋体" w:cs="宋体"/>
                <w:kern w:val="0"/>
                <w:sz w:val="20"/>
                <w:szCs w:val="20"/>
              </w:rPr>
              <w:t xml:space="preserve"> </w:t>
            </w:r>
            <w:r>
              <w:rPr>
                <w:rFonts w:hint="eastAsia" w:ascii="宋体" w:hAnsi="宋体" w:eastAsia="宋体" w:cs="宋体"/>
                <w:kern w:val="0"/>
                <w:sz w:val="20"/>
                <w:szCs w:val="20"/>
              </w:rPr>
              <w:t>对额定电流大于</w:t>
            </w:r>
            <w:r>
              <w:rPr>
                <w:rFonts w:ascii="宋体" w:hAnsi="宋体" w:eastAsia="宋体" w:cs="宋体"/>
                <w:kern w:val="0"/>
                <w:sz w:val="20"/>
                <w:szCs w:val="20"/>
              </w:rPr>
              <w:t>16A的设备在低压供电系统中产生的谐波电流的限制》GB/Z17625.6的要求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□在变电所对供电系统进行谐波监测</w:t>
            </w:r>
            <w:r>
              <w:rPr>
                <w:rFonts w:ascii="宋体" w:hAnsi="宋体" w:eastAsia="宋体" w:cs="宋体"/>
                <w:kern w:val="0"/>
                <w:sz w:val="20"/>
                <w:szCs w:val="20"/>
              </w:rPr>
              <w:br w:type="textWrapping"/>
            </w:r>
            <w:r>
              <w:rPr>
                <w:rFonts w:hint="eastAsia" w:ascii="宋体" w:hAnsi="宋体" w:eastAsia="宋体" w:cs="宋体"/>
                <w:kern w:val="0"/>
                <w:sz w:val="20"/>
                <w:szCs w:val="20"/>
              </w:rPr>
              <w:t>□无功补偿电容串接电抗器，防止谐波放大</w:t>
            </w:r>
            <w:r>
              <w:rPr>
                <w:rFonts w:ascii="宋体" w:hAnsi="宋体" w:eastAsia="宋体" w:cs="宋体"/>
                <w:kern w:val="0"/>
                <w:sz w:val="20"/>
                <w:szCs w:val="20"/>
              </w:rPr>
              <w:br w:type="textWrapping"/>
            </w:r>
            <w:r>
              <w:rPr>
                <w:rFonts w:hint="eastAsia" w:ascii="宋体" w:hAnsi="宋体" w:eastAsia="宋体" w:cs="宋体"/>
                <w:kern w:val="0"/>
                <w:sz w:val="20"/>
                <w:szCs w:val="20"/>
              </w:rPr>
              <w:t>□功率较大、谐波严重的设备，由变电所专线供电；</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□在变电所设置滤波器或预留滤波器的柜位。</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□谐波源较大的机房或设备就地设置谐波抑制装置</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供电线路</w:t>
            </w:r>
          </w:p>
        </w:tc>
        <w:tc>
          <w:tcPr>
            <w:tcW w:w="4536" w:type="dxa"/>
            <w:gridSpan w:val="2"/>
            <w:shd w:val="clear" w:color="auto" w:fill="auto"/>
            <w:vAlign w:val="center"/>
          </w:tcPr>
          <w:p>
            <w:pPr>
              <w:widowControl/>
              <w:jc w:val="left"/>
              <w:rPr>
                <w:rFonts w:ascii="宋体" w:hAnsi="宋体" w:eastAsia="宋体" w:cs="宋体"/>
                <w:kern w:val="0"/>
                <w:sz w:val="20"/>
                <w:szCs w:val="20"/>
              </w:rPr>
            </w:pPr>
          </w:p>
        </w:tc>
        <w:tc>
          <w:tcPr>
            <w:tcW w:w="4820"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□采用铜导体，并采用低烟或无烟、低毒或无毒的阻燃或不燃型线缆。</w:t>
            </w:r>
          </w:p>
        </w:tc>
        <w:tc>
          <w:tcPr>
            <w:tcW w:w="48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□采用铜导体，并采用低烟或无烟、低毒或无毒的阻燃或不燃型线缆。</w:t>
            </w:r>
          </w:p>
        </w:tc>
        <w:tc>
          <w:tcPr>
            <w:tcW w:w="1220" w:type="dxa"/>
            <w:shd w:val="clear" w:color="auto" w:fill="auto"/>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08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097"/>
        <w:gridCol w:w="4536"/>
        <w:gridCol w:w="4820"/>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820"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电气与智能化</w:t>
            </w: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照明系统</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照明质量、照度标准﹑照明功率密度值；</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□室内照明按照现行国家标准《建筑照明设计标准》</w:t>
            </w:r>
            <w:r>
              <w:rPr>
                <w:rFonts w:ascii="宋体" w:hAnsi="宋体" w:eastAsia="宋体" w:cs="宋体"/>
                <w:kern w:val="0"/>
                <w:sz w:val="20"/>
                <w:szCs w:val="20"/>
              </w:rPr>
              <w:t>GB50034规定的照度标准设计；眩光限制、照度均匀度及光源的显色指数等均满足该标准的规定。</w:t>
            </w:r>
            <w:r>
              <w:rPr>
                <w:rFonts w:ascii="宋体" w:hAnsi="宋体" w:eastAsia="宋体" w:cs="宋体"/>
                <w:kern w:val="0"/>
                <w:sz w:val="20"/>
                <w:szCs w:val="20"/>
              </w:rPr>
              <w:br w:type="textWrapping"/>
            </w:r>
            <w:r>
              <w:rPr>
                <w:rFonts w:hint="eastAsia" w:ascii="宋体" w:hAnsi="宋体" w:eastAsia="宋体" w:cs="宋体"/>
                <w:kern w:val="0"/>
                <w:sz w:val="20"/>
                <w:szCs w:val="20"/>
              </w:rPr>
              <w:t>□室内主要场所的</w:t>
            </w:r>
            <w:r>
              <w:rPr>
                <w:rFonts w:ascii="宋体" w:hAnsi="宋体" w:eastAsia="宋体" w:cs="宋体"/>
                <w:kern w:val="0"/>
                <w:sz w:val="20"/>
                <w:szCs w:val="20"/>
              </w:rPr>
              <w:t>LPD按目标值执行</w:t>
            </w:r>
            <w:r>
              <w:rPr>
                <w:rFonts w:ascii="宋体" w:hAnsi="宋体" w:eastAsia="宋体" w:cs="宋体"/>
                <w:kern w:val="0"/>
                <w:sz w:val="20"/>
                <w:szCs w:val="20"/>
              </w:rPr>
              <w:br w:type="textWrapping"/>
            </w:r>
            <w:r>
              <w:rPr>
                <w:rFonts w:hint="eastAsia" w:ascii="宋体" w:hAnsi="宋体" w:eastAsia="宋体" w:cs="宋体"/>
                <w:kern w:val="0"/>
                <w:sz w:val="20"/>
                <w:szCs w:val="20"/>
              </w:rPr>
              <w:t>□各种室外照明产生的光污染、室外灯光对室内的影响满足现行行业标准《城市夜景照明设计规范》</w:t>
            </w:r>
            <w:r>
              <w:rPr>
                <w:rFonts w:ascii="宋体" w:hAnsi="宋体" w:eastAsia="宋体" w:cs="宋体"/>
                <w:kern w:val="0"/>
                <w:sz w:val="20"/>
                <w:szCs w:val="20"/>
              </w:rPr>
              <w:t xml:space="preserve"> JGJ/T163</w:t>
            </w:r>
            <w:r>
              <w:rPr>
                <w:rFonts w:hint="eastAsia" w:ascii="宋体" w:hAnsi="宋体" w:eastAsia="宋体" w:cs="宋体"/>
                <w:sz w:val="20"/>
                <w:szCs w:val="20"/>
              </w:rPr>
              <w:t>、浙江省标准《</w:t>
            </w:r>
            <w:r>
              <w:rPr>
                <w:rFonts w:ascii="宋体" w:hAnsi="宋体" w:eastAsia="宋体" w:cs="宋体"/>
                <w:sz w:val="20"/>
                <w:szCs w:val="20"/>
              </w:rPr>
              <w:t>环境照明工程设计规范</w:t>
            </w:r>
            <w:r>
              <w:rPr>
                <w:rFonts w:hint="eastAsia" w:ascii="宋体" w:hAnsi="宋体" w:eastAsia="宋体" w:cs="宋体"/>
                <w:sz w:val="20"/>
                <w:szCs w:val="20"/>
              </w:rPr>
              <w:t>》</w:t>
            </w:r>
            <w:r>
              <w:rPr>
                <w:rFonts w:ascii="宋体" w:hAnsi="宋体" w:eastAsia="宋体" w:cs="宋体"/>
                <w:sz w:val="20"/>
                <w:szCs w:val="20"/>
              </w:rPr>
              <w:t xml:space="preserve"> DB33/T 1055-2018</w:t>
            </w:r>
            <w:r>
              <w:rPr>
                <w:rFonts w:hint="eastAsia" w:ascii="宋体" w:hAnsi="宋体" w:eastAsia="宋体" w:cs="宋体"/>
                <w:kern w:val="0"/>
                <w:sz w:val="20"/>
                <w:szCs w:val="20"/>
              </w:rPr>
              <w:t>的要求</w:t>
            </w:r>
          </w:p>
        </w:tc>
        <w:tc>
          <w:tcPr>
            <w:tcW w:w="482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□室内照明按照现行国家标准《建筑照明设计标准》</w:t>
            </w:r>
            <w:r>
              <w:rPr>
                <w:rFonts w:ascii="宋体" w:hAnsi="宋体" w:eastAsia="宋体" w:cs="宋体"/>
                <w:kern w:val="0"/>
                <w:sz w:val="20"/>
                <w:szCs w:val="20"/>
              </w:rPr>
              <w:t>GB50034规定的照度标准设计；眩光限制、照度均匀度及光源的显色指数等均满足该标准的规定。</w:t>
            </w:r>
            <w:r>
              <w:rPr>
                <w:rFonts w:ascii="宋体" w:hAnsi="宋体" w:eastAsia="宋体" w:cs="宋体"/>
                <w:kern w:val="0"/>
                <w:sz w:val="20"/>
                <w:szCs w:val="20"/>
              </w:rPr>
              <w:br w:type="textWrapping"/>
            </w:r>
            <w:r>
              <w:rPr>
                <w:rFonts w:hint="eastAsia" w:ascii="宋体" w:hAnsi="宋体" w:eastAsia="宋体" w:cs="宋体"/>
                <w:kern w:val="0"/>
                <w:sz w:val="20"/>
                <w:szCs w:val="20"/>
              </w:rPr>
              <w:t>□室内主要场所的</w:t>
            </w:r>
            <w:r>
              <w:rPr>
                <w:rFonts w:ascii="宋体" w:hAnsi="宋体" w:eastAsia="宋体" w:cs="宋体"/>
                <w:kern w:val="0"/>
                <w:sz w:val="20"/>
                <w:szCs w:val="20"/>
              </w:rPr>
              <w:t>LPD按目标值执行</w:t>
            </w:r>
            <w:r>
              <w:rPr>
                <w:rFonts w:ascii="宋体" w:hAnsi="宋体" w:eastAsia="宋体" w:cs="宋体"/>
                <w:kern w:val="0"/>
                <w:sz w:val="20"/>
                <w:szCs w:val="20"/>
              </w:rPr>
              <w:br w:type="textWrapping"/>
            </w:r>
            <w:r>
              <w:rPr>
                <w:rFonts w:hint="eastAsia" w:ascii="宋体" w:hAnsi="宋体" w:eastAsia="宋体" w:cs="宋体"/>
                <w:kern w:val="0"/>
                <w:sz w:val="20"/>
                <w:szCs w:val="20"/>
              </w:rPr>
              <w:t>□各种室外照明产生的光污染、室外灯光对室内的影响满足现行行业标准《城市夜景照明设计规范》</w:t>
            </w:r>
            <w:r>
              <w:rPr>
                <w:rFonts w:ascii="宋体" w:hAnsi="宋体" w:eastAsia="宋体" w:cs="宋体"/>
                <w:kern w:val="0"/>
                <w:sz w:val="20"/>
                <w:szCs w:val="20"/>
              </w:rPr>
              <w:t xml:space="preserve"> JGJ/T163、浙江省标准</w:t>
            </w:r>
            <w:r>
              <w:rPr>
                <w:rFonts w:hint="eastAsia" w:ascii="宋体" w:hAnsi="宋体" w:eastAsia="宋体" w:cs="宋体"/>
                <w:sz w:val="20"/>
                <w:szCs w:val="20"/>
              </w:rPr>
              <w:t>《</w:t>
            </w:r>
            <w:r>
              <w:rPr>
                <w:rFonts w:ascii="宋体" w:hAnsi="宋体" w:eastAsia="宋体" w:cs="宋体"/>
                <w:sz w:val="20"/>
                <w:szCs w:val="20"/>
              </w:rPr>
              <w:t>环境照明工程设计规范</w:t>
            </w:r>
            <w:r>
              <w:rPr>
                <w:rFonts w:hint="eastAsia" w:ascii="宋体" w:hAnsi="宋体" w:eastAsia="宋体" w:cs="宋体"/>
                <w:sz w:val="20"/>
                <w:szCs w:val="20"/>
              </w:rPr>
              <w:t>》</w:t>
            </w:r>
            <w:r>
              <w:rPr>
                <w:rFonts w:ascii="宋体" w:hAnsi="宋体" w:eastAsia="宋体" w:cs="宋体"/>
                <w:sz w:val="20"/>
                <w:szCs w:val="20"/>
              </w:rPr>
              <w:t xml:space="preserve"> DB33/T 1055-2018</w:t>
            </w:r>
            <w:r>
              <w:rPr>
                <w:rFonts w:hint="eastAsia" w:ascii="宋体" w:hAnsi="宋体" w:eastAsia="宋体" w:cs="宋体"/>
                <w:kern w:val="0"/>
                <w:sz w:val="20"/>
                <w:szCs w:val="20"/>
              </w:rPr>
              <w:t>的要求</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hint="eastAsia" w:ascii="宋体" w:hAnsi="宋体" w:eastAsia="宋体" w:cs="宋体"/>
                <w:sz w:val="20"/>
                <w:szCs w:val="20"/>
              </w:rPr>
              <w:t>步行道和非机动车道的照度标准值不低于现行行业标准《城市道路照明设计标准》</w:t>
            </w:r>
            <w:r>
              <w:rPr>
                <w:rFonts w:ascii="宋体" w:hAnsi="宋体" w:eastAsia="宋体" w:cs="宋体"/>
                <w:sz w:val="20"/>
                <w:szCs w:val="20"/>
              </w:rPr>
              <w:t>CJJ 45</w:t>
            </w:r>
            <w:r>
              <w:rPr>
                <w:rFonts w:hint="eastAsia" w:ascii="宋体" w:hAnsi="宋体" w:eastAsia="宋体" w:cs="宋体"/>
                <w:sz w:val="20"/>
                <w:szCs w:val="20"/>
              </w:rPr>
              <w:t>的相关要求。</w:t>
            </w:r>
          </w:p>
        </w:tc>
        <w:tc>
          <w:tcPr>
            <w:tcW w:w="48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□室内照明按照现行国家标准《建筑照明设计标准》</w:t>
            </w:r>
            <w:r>
              <w:rPr>
                <w:rFonts w:ascii="宋体" w:hAnsi="宋体" w:eastAsia="宋体" w:cs="宋体"/>
                <w:kern w:val="0"/>
                <w:sz w:val="20"/>
                <w:szCs w:val="20"/>
              </w:rPr>
              <w:t>GB50034规定的照度标准设计；眩光限制、照度均匀度及光源的显色指数等均满足该标准的规定</w:t>
            </w:r>
            <w:r>
              <w:rPr>
                <w:rFonts w:ascii="宋体" w:hAnsi="宋体" w:eastAsia="宋体" w:cs="宋体"/>
                <w:kern w:val="0"/>
                <w:sz w:val="20"/>
                <w:szCs w:val="20"/>
              </w:rPr>
              <w:br w:type="textWrapping"/>
            </w:r>
            <w:r>
              <w:rPr>
                <w:rFonts w:hint="eastAsia" w:ascii="宋体" w:hAnsi="宋体" w:eastAsia="宋体" w:cs="宋体"/>
                <w:kern w:val="0"/>
                <w:sz w:val="20"/>
                <w:szCs w:val="20"/>
              </w:rPr>
              <w:t>□室内所有场所的</w:t>
            </w:r>
            <w:r>
              <w:rPr>
                <w:rFonts w:ascii="宋体" w:hAnsi="宋体" w:eastAsia="宋体" w:cs="宋体"/>
                <w:kern w:val="0"/>
                <w:sz w:val="20"/>
                <w:szCs w:val="20"/>
              </w:rPr>
              <w:t>LPD按目标值执行</w:t>
            </w:r>
            <w:r>
              <w:rPr>
                <w:rFonts w:ascii="宋体" w:hAnsi="宋体" w:eastAsia="宋体" w:cs="宋体"/>
                <w:kern w:val="0"/>
                <w:sz w:val="20"/>
                <w:szCs w:val="20"/>
              </w:rPr>
              <w:br w:type="textWrapping"/>
            </w:r>
            <w:r>
              <w:rPr>
                <w:rFonts w:hint="eastAsia" w:ascii="宋体" w:hAnsi="宋体" w:eastAsia="宋体" w:cs="宋体"/>
                <w:kern w:val="0"/>
                <w:sz w:val="20"/>
                <w:szCs w:val="20"/>
              </w:rPr>
              <w:t>□各种室外照明产生的光污染、室外灯光对室内的影响满足现行行业标准《城市夜景照明设计规范》</w:t>
            </w:r>
            <w:r>
              <w:rPr>
                <w:rFonts w:ascii="宋体" w:hAnsi="宋体" w:eastAsia="宋体" w:cs="宋体"/>
                <w:kern w:val="0"/>
                <w:sz w:val="20"/>
                <w:szCs w:val="20"/>
              </w:rPr>
              <w:t xml:space="preserve"> JGJ/T163、浙江省标准</w:t>
            </w:r>
            <w:r>
              <w:rPr>
                <w:rFonts w:hint="eastAsia" w:ascii="宋体" w:hAnsi="宋体" w:eastAsia="宋体" w:cs="宋体"/>
                <w:sz w:val="20"/>
                <w:szCs w:val="20"/>
              </w:rPr>
              <w:t>《</w:t>
            </w:r>
            <w:r>
              <w:rPr>
                <w:rFonts w:ascii="宋体" w:hAnsi="宋体" w:eastAsia="宋体" w:cs="宋体"/>
                <w:sz w:val="20"/>
                <w:szCs w:val="20"/>
              </w:rPr>
              <w:t>环境照明工程设计规范</w:t>
            </w:r>
            <w:r>
              <w:rPr>
                <w:rFonts w:hint="eastAsia" w:ascii="宋体" w:hAnsi="宋体" w:eastAsia="宋体" w:cs="宋体"/>
                <w:sz w:val="20"/>
                <w:szCs w:val="20"/>
              </w:rPr>
              <w:t>》</w:t>
            </w:r>
            <w:r>
              <w:rPr>
                <w:rFonts w:ascii="宋体" w:hAnsi="宋体" w:eastAsia="宋体" w:cs="宋体"/>
                <w:sz w:val="20"/>
                <w:szCs w:val="20"/>
              </w:rPr>
              <w:t xml:space="preserve"> DB33/T 1055-2018</w:t>
            </w:r>
            <w:r>
              <w:rPr>
                <w:rFonts w:hint="eastAsia" w:ascii="宋体" w:hAnsi="宋体" w:eastAsia="宋体" w:cs="宋体"/>
                <w:kern w:val="0"/>
                <w:sz w:val="20"/>
                <w:szCs w:val="20"/>
              </w:rPr>
              <w:t>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eastAsia="宋体" w:cs="宋体"/>
                <w:sz w:val="20"/>
                <w:szCs w:val="20"/>
              </w:rPr>
              <w:t>步行道和非机动车道的照度标准值不低于现行行业标准《城市道路照明设计标准》</w:t>
            </w:r>
            <w:r>
              <w:rPr>
                <w:rFonts w:ascii="宋体" w:hAnsi="宋体" w:eastAsia="宋体" w:cs="宋体"/>
                <w:sz w:val="20"/>
                <w:szCs w:val="20"/>
              </w:rPr>
              <w:t>CJJ 45</w:t>
            </w:r>
            <w:r>
              <w:rPr>
                <w:rFonts w:hint="eastAsia" w:ascii="宋体" w:hAnsi="宋体" w:eastAsia="宋体" w:cs="宋体"/>
                <w:sz w:val="20"/>
                <w:szCs w:val="20"/>
              </w:rPr>
              <w:t>的相关要求。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eastAsia="宋体" w:cs="宋体"/>
                <w:sz w:val="20"/>
                <w:szCs w:val="20"/>
              </w:rPr>
              <w:t>室外照明的照度明标准值、照明功率密度值满足现行行业标准《城市夜景照明设计规范》</w:t>
            </w:r>
            <w:r>
              <w:rPr>
                <w:rFonts w:ascii="宋体" w:hAnsi="宋体" w:eastAsia="宋体" w:cs="宋体"/>
                <w:sz w:val="20"/>
                <w:szCs w:val="20"/>
              </w:rPr>
              <w:t>JGJ/T 163</w:t>
            </w:r>
            <w:r>
              <w:rPr>
                <w:rFonts w:hint="eastAsia" w:ascii="宋体" w:hAnsi="宋体" w:eastAsia="宋体" w:cs="宋体"/>
                <w:sz w:val="20"/>
                <w:szCs w:val="20"/>
              </w:rPr>
              <w:t>、现行地方标准《环境照明工程设计规范》</w:t>
            </w:r>
            <w:r>
              <w:rPr>
                <w:rFonts w:ascii="宋体" w:hAnsi="宋体" w:eastAsia="宋体" w:cs="宋体"/>
                <w:sz w:val="20"/>
                <w:szCs w:val="20"/>
              </w:rPr>
              <w:t>DB33/T 1055</w:t>
            </w:r>
            <w:r>
              <w:rPr>
                <w:rFonts w:hint="eastAsia" w:ascii="宋体" w:hAnsi="宋体" w:eastAsia="宋体" w:cs="宋体"/>
                <w:sz w:val="20"/>
                <w:szCs w:val="20"/>
              </w:rPr>
              <w:t>的要求。</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照明控制方式</w:t>
            </w:r>
          </w:p>
        </w:tc>
        <w:tc>
          <w:tcPr>
            <w:tcW w:w="4536"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□公共区域的照明系统采取节能控制措施；</w:t>
            </w:r>
          </w:p>
          <w:p>
            <w:pPr>
              <w:jc w:val="left"/>
              <w:rPr>
                <w:rFonts w:ascii="宋体" w:hAnsi="宋体" w:eastAsia="宋体" w:cs="宋体"/>
                <w:kern w:val="0"/>
                <w:sz w:val="20"/>
                <w:szCs w:val="20"/>
              </w:rPr>
            </w:pPr>
            <w:r>
              <w:rPr>
                <w:rFonts w:hint="eastAsia" w:ascii="宋体" w:hAnsi="宋体" w:eastAsia="宋体" w:cs="宋体"/>
                <w:kern w:val="0"/>
                <w:sz w:val="20"/>
                <w:szCs w:val="20"/>
              </w:rPr>
              <w:t>□自然采光区域的照明控制独立于其他区域的照明控制；</w:t>
            </w:r>
          </w:p>
        </w:tc>
        <w:tc>
          <w:tcPr>
            <w:tcW w:w="4820"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□公共区域的照明系统采取节能控制措施；</w:t>
            </w:r>
          </w:p>
          <w:p>
            <w:pPr>
              <w:jc w:val="left"/>
              <w:rPr>
                <w:rFonts w:ascii="宋体" w:hAnsi="宋体" w:eastAsia="宋体" w:cs="宋体"/>
                <w:kern w:val="0"/>
                <w:sz w:val="20"/>
                <w:szCs w:val="20"/>
              </w:rPr>
            </w:pPr>
            <w:r>
              <w:rPr>
                <w:rFonts w:hint="eastAsia" w:ascii="宋体" w:hAnsi="宋体" w:eastAsia="宋体" w:cs="宋体"/>
                <w:kern w:val="0"/>
                <w:sz w:val="20"/>
                <w:szCs w:val="20"/>
              </w:rPr>
              <w:t>□自然采光区域的照明控制独立于其他区域的照明控制；</w:t>
            </w:r>
          </w:p>
          <w:p>
            <w:pPr>
              <w:jc w:val="left"/>
              <w:rPr>
                <w:rFonts w:ascii="宋体" w:hAnsi="宋体" w:eastAsia="宋体" w:cs="宋体"/>
                <w:kern w:val="0"/>
                <w:sz w:val="20"/>
                <w:szCs w:val="20"/>
              </w:rPr>
            </w:pPr>
            <w:r>
              <w:rPr>
                <w:rFonts w:hint="eastAsia" w:ascii="宋体" w:hAnsi="宋体" w:eastAsia="宋体" w:cs="宋体"/>
                <w:kern w:val="0"/>
                <w:sz w:val="20"/>
                <w:szCs w:val="20"/>
              </w:rPr>
              <w:t>□具有自然采光的区域，结合自然光采用合理的人工照明布置及控制措施；当自然光达到照度要求时，避免开启人工照明。</w:t>
            </w:r>
          </w:p>
        </w:tc>
        <w:tc>
          <w:tcPr>
            <w:tcW w:w="4819"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□公共区域的照明系统采取节能控制措施；</w:t>
            </w:r>
          </w:p>
          <w:p>
            <w:pPr>
              <w:jc w:val="left"/>
              <w:rPr>
                <w:rFonts w:ascii="宋体" w:hAnsi="宋体" w:eastAsia="宋体" w:cs="宋体"/>
                <w:kern w:val="0"/>
                <w:sz w:val="20"/>
                <w:szCs w:val="20"/>
              </w:rPr>
            </w:pPr>
            <w:r>
              <w:rPr>
                <w:rFonts w:hint="eastAsia" w:ascii="宋体" w:hAnsi="宋体" w:eastAsia="宋体" w:cs="宋体"/>
                <w:kern w:val="0"/>
                <w:sz w:val="20"/>
                <w:szCs w:val="20"/>
              </w:rPr>
              <w:t>□自然采光区域的照明控制独立于其他区域的照明控制；</w:t>
            </w:r>
          </w:p>
          <w:p>
            <w:pPr>
              <w:jc w:val="left"/>
              <w:rPr>
                <w:rFonts w:ascii="宋体" w:hAnsi="宋体" w:eastAsia="宋体" w:cs="宋体"/>
                <w:kern w:val="0"/>
                <w:sz w:val="20"/>
                <w:szCs w:val="20"/>
              </w:rPr>
            </w:pPr>
            <w:r>
              <w:rPr>
                <w:rFonts w:hint="eastAsia" w:ascii="宋体" w:hAnsi="宋体" w:eastAsia="宋体" w:cs="宋体"/>
                <w:kern w:val="0"/>
                <w:sz w:val="20"/>
                <w:szCs w:val="20"/>
              </w:rPr>
              <w:t>□具有自然采光的区域，结合自然光采用合理的人工照明布置及控制措施；当自然光达到照度要求时，避免开启人工照明。</w:t>
            </w:r>
          </w:p>
        </w:tc>
        <w:tc>
          <w:tcPr>
            <w:tcW w:w="1220" w:type="dxa"/>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照明产品的光生物安全性、能效等级</w:t>
            </w:r>
          </w:p>
        </w:tc>
        <w:tc>
          <w:tcPr>
            <w:tcW w:w="4536"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□人员长期停留的场所采用无危险类照明产品；</w:t>
            </w:r>
          </w:p>
          <w:p>
            <w:pPr>
              <w:jc w:val="left"/>
              <w:rPr>
                <w:rFonts w:ascii="宋体" w:hAnsi="宋体" w:eastAsia="宋体" w:cs="宋体"/>
                <w:kern w:val="0"/>
                <w:sz w:val="20"/>
                <w:szCs w:val="20"/>
              </w:rPr>
            </w:pPr>
            <w:r>
              <w:rPr>
                <w:rFonts w:hint="eastAsia" w:ascii="宋体" w:hAnsi="宋体" w:eastAsia="宋体" w:cs="宋体"/>
                <w:kern w:val="0"/>
                <w:sz w:val="20"/>
                <w:szCs w:val="20"/>
              </w:rPr>
              <w:t>□照明产品的频闪满足国家标准</w:t>
            </w:r>
            <w:r>
              <w:rPr>
                <w:rFonts w:ascii="宋体" w:hAnsi="宋体" w:eastAsia="宋体" w:cs="宋体"/>
                <w:kern w:val="0"/>
                <w:sz w:val="20"/>
                <w:szCs w:val="20"/>
              </w:rPr>
              <w:t>《建筑环境通用规范》GB 55016、</w:t>
            </w:r>
            <w:r>
              <w:rPr>
                <w:rFonts w:hint="eastAsia" w:ascii="宋体" w:hAnsi="宋体" w:eastAsia="宋体" w:cs="宋体"/>
                <w:kern w:val="0"/>
                <w:sz w:val="20"/>
                <w:szCs w:val="20"/>
              </w:rPr>
              <w:t>《绿色建筑评价标准》</w:t>
            </w:r>
            <w:r>
              <w:rPr>
                <w:rFonts w:ascii="宋体" w:hAnsi="宋体" w:eastAsia="宋体" w:cs="宋体"/>
                <w:kern w:val="0"/>
                <w:sz w:val="20"/>
                <w:szCs w:val="20"/>
              </w:rPr>
              <w:t>GB/T 50378、《建筑照明设计标准》GB 50034</w:t>
            </w:r>
            <w:r>
              <w:rPr>
                <w:rFonts w:hint="eastAsia" w:ascii="宋体" w:hAnsi="宋体" w:eastAsia="宋体" w:cs="宋体"/>
                <w:kern w:val="0"/>
                <w:sz w:val="20"/>
                <w:szCs w:val="20"/>
              </w:rPr>
              <w:t>的相关要求。</w:t>
            </w:r>
          </w:p>
          <w:p>
            <w:pPr>
              <w:jc w:val="left"/>
              <w:rPr>
                <w:rFonts w:ascii="宋体" w:hAnsi="宋体" w:eastAsia="宋体" w:cs="宋体"/>
                <w:kern w:val="0"/>
                <w:sz w:val="20"/>
                <w:szCs w:val="20"/>
              </w:rPr>
            </w:pPr>
            <w:r>
              <w:rPr>
                <w:rFonts w:hint="eastAsia" w:ascii="宋体" w:hAnsi="宋体" w:eastAsia="宋体" w:cs="宋体"/>
                <w:kern w:val="0"/>
                <w:sz w:val="20"/>
                <w:szCs w:val="20"/>
              </w:rPr>
              <w:t>□光源、镇流器的能效等级不低于能效限定值；</w:t>
            </w:r>
          </w:p>
          <w:p>
            <w:pPr>
              <w:jc w:val="left"/>
              <w:rPr>
                <w:rFonts w:ascii="宋体" w:hAnsi="宋体" w:eastAsia="宋体" w:cs="宋体"/>
                <w:kern w:val="0"/>
                <w:sz w:val="20"/>
                <w:szCs w:val="20"/>
              </w:rPr>
            </w:pPr>
            <w:r>
              <w:rPr>
                <w:rFonts w:hint="eastAsia" w:ascii="宋体" w:hAnsi="宋体" w:eastAsia="宋体" w:cs="宋体"/>
                <w:kern w:val="0"/>
                <w:sz w:val="20"/>
                <w:szCs w:val="20"/>
              </w:rPr>
              <w:t>□灯具效率满足《建筑照明设计标准》</w:t>
            </w:r>
            <w:r>
              <w:rPr>
                <w:rFonts w:ascii="宋体" w:hAnsi="宋体" w:eastAsia="宋体" w:cs="宋体"/>
                <w:kern w:val="0"/>
                <w:sz w:val="20"/>
                <w:szCs w:val="20"/>
              </w:rPr>
              <w:t xml:space="preserve">GB50034-2013 </w:t>
            </w:r>
            <w:r>
              <w:rPr>
                <w:rFonts w:hint="eastAsia" w:ascii="宋体" w:hAnsi="宋体" w:eastAsia="宋体" w:cs="宋体"/>
                <w:kern w:val="0"/>
                <w:sz w:val="20"/>
                <w:szCs w:val="20"/>
              </w:rPr>
              <w:t>的要求。</w:t>
            </w:r>
          </w:p>
        </w:tc>
        <w:tc>
          <w:tcPr>
            <w:tcW w:w="4820"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□人员长期停留的场所采用无危险类照明产品；</w:t>
            </w:r>
          </w:p>
          <w:p>
            <w:pPr>
              <w:jc w:val="left"/>
              <w:rPr>
                <w:rFonts w:ascii="宋体" w:hAnsi="宋体" w:eastAsia="宋体" w:cs="宋体"/>
                <w:kern w:val="0"/>
                <w:sz w:val="20"/>
                <w:szCs w:val="20"/>
              </w:rPr>
            </w:pPr>
            <w:r>
              <w:rPr>
                <w:rFonts w:hint="eastAsia" w:ascii="宋体" w:hAnsi="宋体" w:eastAsia="宋体" w:cs="宋体"/>
                <w:kern w:val="0"/>
                <w:sz w:val="20"/>
                <w:szCs w:val="20"/>
              </w:rPr>
              <w:t>□照明产品的频闪满足国家标准</w:t>
            </w:r>
            <w:r>
              <w:rPr>
                <w:rFonts w:ascii="宋体" w:hAnsi="宋体" w:eastAsia="宋体" w:cs="宋体"/>
                <w:kern w:val="0"/>
                <w:sz w:val="20"/>
                <w:szCs w:val="20"/>
              </w:rPr>
              <w:t>《建筑环境通用规范》GB 55016、</w:t>
            </w:r>
            <w:r>
              <w:rPr>
                <w:rFonts w:hint="eastAsia" w:ascii="宋体" w:hAnsi="宋体" w:eastAsia="宋体" w:cs="宋体"/>
                <w:kern w:val="0"/>
                <w:sz w:val="20"/>
                <w:szCs w:val="20"/>
              </w:rPr>
              <w:t>《绿色建筑评价标准》</w:t>
            </w:r>
            <w:r>
              <w:rPr>
                <w:rFonts w:ascii="宋体" w:hAnsi="宋体" w:eastAsia="宋体" w:cs="宋体"/>
                <w:kern w:val="0"/>
                <w:sz w:val="20"/>
                <w:szCs w:val="20"/>
              </w:rPr>
              <w:t>GB/T 50378、《建筑照明设计标准》GB 50034</w:t>
            </w:r>
            <w:r>
              <w:rPr>
                <w:rFonts w:hint="eastAsia" w:ascii="宋体" w:hAnsi="宋体" w:eastAsia="宋体" w:cs="宋体"/>
                <w:kern w:val="0"/>
                <w:sz w:val="20"/>
                <w:szCs w:val="20"/>
              </w:rPr>
              <w:t>的相关要求。</w:t>
            </w:r>
          </w:p>
          <w:p>
            <w:pPr>
              <w:jc w:val="left"/>
              <w:rPr>
                <w:rFonts w:ascii="宋体" w:hAnsi="宋体" w:eastAsia="宋体" w:cs="宋体"/>
                <w:kern w:val="0"/>
                <w:sz w:val="20"/>
                <w:szCs w:val="20"/>
              </w:rPr>
            </w:pPr>
            <w:r>
              <w:rPr>
                <w:rFonts w:hint="eastAsia" w:ascii="宋体" w:hAnsi="宋体" w:eastAsia="宋体" w:cs="宋体"/>
                <w:kern w:val="0"/>
                <w:sz w:val="20"/>
                <w:szCs w:val="20"/>
              </w:rPr>
              <w:t>□光源、镇流器的能效等级不低于</w:t>
            </w:r>
            <w:r>
              <w:rPr>
                <w:rFonts w:ascii="宋体" w:hAnsi="宋体" w:eastAsia="宋体" w:cs="宋体"/>
                <w:kern w:val="0"/>
                <w:sz w:val="20"/>
                <w:szCs w:val="20"/>
              </w:rPr>
              <w:t>2级；</w:t>
            </w:r>
          </w:p>
          <w:p>
            <w:pPr>
              <w:jc w:val="left"/>
              <w:rPr>
                <w:rFonts w:ascii="宋体" w:hAnsi="宋体" w:eastAsia="宋体" w:cs="宋体"/>
                <w:kern w:val="0"/>
                <w:sz w:val="20"/>
                <w:szCs w:val="20"/>
              </w:rPr>
            </w:pPr>
            <w:r>
              <w:rPr>
                <w:rFonts w:hint="eastAsia" w:ascii="宋体" w:hAnsi="宋体" w:eastAsia="宋体" w:cs="宋体"/>
                <w:kern w:val="0"/>
                <w:sz w:val="20"/>
                <w:szCs w:val="20"/>
              </w:rPr>
              <w:t>□灯具效率满足《建筑照明设计标准》</w:t>
            </w:r>
            <w:r>
              <w:rPr>
                <w:rFonts w:ascii="宋体" w:hAnsi="宋体" w:eastAsia="宋体" w:cs="宋体"/>
                <w:kern w:val="0"/>
                <w:sz w:val="20"/>
                <w:szCs w:val="20"/>
              </w:rPr>
              <w:t xml:space="preserve">GB50034-2013 </w:t>
            </w:r>
            <w:r>
              <w:rPr>
                <w:rFonts w:hint="eastAsia" w:ascii="宋体" w:hAnsi="宋体" w:eastAsia="宋体" w:cs="宋体"/>
                <w:kern w:val="0"/>
                <w:sz w:val="20"/>
                <w:szCs w:val="20"/>
              </w:rPr>
              <w:t>的要求。</w:t>
            </w:r>
          </w:p>
        </w:tc>
        <w:tc>
          <w:tcPr>
            <w:tcW w:w="4819"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□人员长期停留的场所采用无危险类照明产品；</w:t>
            </w:r>
          </w:p>
          <w:p>
            <w:pPr>
              <w:jc w:val="left"/>
              <w:rPr>
                <w:rFonts w:ascii="宋体" w:hAnsi="宋体" w:eastAsia="宋体" w:cs="宋体"/>
                <w:kern w:val="0"/>
                <w:sz w:val="20"/>
                <w:szCs w:val="20"/>
              </w:rPr>
            </w:pPr>
            <w:r>
              <w:rPr>
                <w:rFonts w:hint="eastAsia" w:ascii="宋体" w:hAnsi="宋体" w:eastAsia="宋体" w:cs="宋体"/>
                <w:kern w:val="0"/>
                <w:sz w:val="20"/>
                <w:szCs w:val="20"/>
              </w:rPr>
              <w:t>□照明产品的频闪满足国家标准</w:t>
            </w:r>
            <w:r>
              <w:rPr>
                <w:rFonts w:ascii="宋体" w:hAnsi="宋体" w:eastAsia="宋体" w:cs="宋体"/>
                <w:kern w:val="0"/>
                <w:sz w:val="20"/>
                <w:szCs w:val="20"/>
              </w:rPr>
              <w:t>《建筑环境通用规范》GB 55016、</w:t>
            </w:r>
            <w:r>
              <w:rPr>
                <w:rFonts w:hint="eastAsia" w:ascii="宋体" w:hAnsi="宋体" w:eastAsia="宋体" w:cs="宋体"/>
                <w:kern w:val="0"/>
                <w:sz w:val="20"/>
                <w:szCs w:val="20"/>
              </w:rPr>
              <w:t>《绿色建筑评价标准》</w:t>
            </w:r>
            <w:r>
              <w:rPr>
                <w:rFonts w:ascii="宋体" w:hAnsi="宋体" w:eastAsia="宋体" w:cs="宋体"/>
                <w:kern w:val="0"/>
                <w:sz w:val="20"/>
                <w:szCs w:val="20"/>
              </w:rPr>
              <w:t>GB/T 50378、《建筑照明设计标准》GB 50034</w:t>
            </w:r>
            <w:r>
              <w:rPr>
                <w:rFonts w:hint="eastAsia" w:ascii="宋体" w:hAnsi="宋体" w:eastAsia="宋体" w:cs="宋体"/>
                <w:kern w:val="0"/>
                <w:sz w:val="20"/>
                <w:szCs w:val="20"/>
              </w:rPr>
              <w:t>的相关要求。</w:t>
            </w:r>
          </w:p>
          <w:p>
            <w:pPr>
              <w:jc w:val="left"/>
              <w:rPr>
                <w:rFonts w:ascii="宋体" w:hAnsi="宋体" w:eastAsia="宋体" w:cs="宋体"/>
                <w:kern w:val="0"/>
                <w:sz w:val="20"/>
                <w:szCs w:val="20"/>
              </w:rPr>
            </w:pPr>
            <w:r>
              <w:rPr>
                <w:rFonts w:hint="eastAsia" w:ascii="宋体" w:hAnsi="宋体" w:eastAsia="宋体" w:cs="宋体"/>
                <w:kern w:val="0"/>
                <w:sz w:val="20"/>
                <w:szCs w:val="20"/>
              </w:rPr>
              <w:t>□光源、镇流器的能效等级不低于</w:t>
            </w:r>
            <w:r>
              <w:rPr>
                <w:rFonts w:ascii="宋体" w:hAnsi="宋体" w:eastAsia="宋体" w:cs="宋体"/>
                <w:kern w:val="0"/>
                <w:sz w:val="20"/>
                <w:szCs w:val="20"/>
              </w:rPr>
              <w:t>2级；</w:t>
            </w:r>
          </w:p>
          <w:p>
            <w:pPr>
              <w:jc w:val="left"/>
              <w:rPr>
                <w:rFonts w:ascii="宋体" w:hAnsi="宋体" w:eastAsia="宋体" w:cs="宋体"/>
                <w:kern w:val="0"/>
                <w:sz w:val="20"/>
                <w:szCs w:val="20"/>
              </w:rPr>
            </w:pPr>
            <w:r>
              <w:rPr>
                <w:rFonts w:hint="eastAsia" w:ascii="宋体" w:hAnsi="宋体" w:eastAsia="宋体" w:cs="宋体"/>
                <w:kern w:val="0"/>
                <w:sz w:val="20"/>
                <w:szCs w:val="20"/>
              </w:rPr>
              <w:t>□灯具效率满足《建筑照明设计标准》</w:t>
            </w:r>
            <w:r>
              <w:rPr>
                <w:rFonts w:ascii="宋体" w:hAnsi="宋体" w:eastAsia="宋体" w:cs="宋体"/>
                <w:kern w:val="0"/>
                <w:sz w:val="20"/>
                <w:szCs w:val="20"/>
              </w:rPr>
              <w:t xml:space="preserve">GB50034-2013 </w:t>
            </w:r>
            <w:r>
              <w:rPr>
                <w:rFonts w:hint="eastAsia" w:ascii="宋体" w:hAnsi="宋体" w:eastAsia="宋体" w:cs="宋体"/>
                <w:kern w:val="0"/>
                <w:sz w:val="20"/>
                <w:szCs w:val="20"/>
              </w:rPr>
              <w:t>的要求。</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照明方式</w:t>
            </w:r>
          </w:p>
        </w:tc>
        <w:tc>
          <w:tcPr>
            <w:tcW w:w="4536" w:type="dxa"/>
            <w:shd w:val="clear" w:color="auto" w:fill="auto"/>
            <w:vAlign w:val="center"/>
          </w:tcPr>
          <w:p>
            <w:pPr>
              <w:jc w:val="left"/>
              <w:rPr>
                <w:rFonts w:ascii="宋体" w:hAnsi="宋体" w:eastAsia="宋体" w:cs="宋体"/>
                <w:kern w:val="0"/>
                <w:sz w:val="20"/>
                <w:szCs w:val="20"/>
              </w:rPr>
            </w:pPr>
          </w:p>
        </w:tc>
        <w:tc>
          <w:tcPr>
            <w:tcW w:w="4820"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□照明方式：以直接照明为主；功能明确的场所按需要采用一般照明、分区一般照明和局部照明</w:t>
            </w:r>
          </w:p>
        </w:tc>
        <w:tc>
          <w:tcPr>
            <w:tcW w:w="4819"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□照明方式：以直接照明为主；功能明确的场所按需要采用一般照明、分区一般照明和局部照明</w:t>
            </w:r>
          </w:p>
        </w:tc>
        <w:tc>
          <w:tcPr>
            <w:tcW w:w="1220" w:type="dxa"/>
            <w:shd w:val="clear" w:color="auto" w:fill="auto"/>
            <w:vAlign w:val="center"/>
          </w:tcPr>
          <w:p>
            <w:pPr>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动力系统</w:t>
            </w:r>
          </w:p>
        </w:tc>
        <w:tc>
          <w:tcPr>
            <w:tcW w:w="3097"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电动机、交流接触器的能效等级；</w:t>
            </w:r>
          </w:p>
        </w:tc>
        <w:tc>
          <w:tcPr>
            <w:tcW w:w="14175" w:type="dxa"/>
            <w:gridSpan w:val="3"/>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□不低于</w:t>
            </w:r>
            <w:r>
              <w:rPr>
                <w:rFonts w:ascii="宋体" w:hAnsi="宋体" w:eastAsia="宋体" w:cs="宋体"/>
                <w:kern w:val="0"/>
                <w:sz w:val="20"/>
                <w:szCs w:val="20"/>
              </w:rPr>
              <w:t>3级</w:t>
            </w:r>
          </w:p>
        </w:tc>
        <w:tc>
          <w:tcPr>
            <w:tcW w:w="1220" w:type="dxa"/>
            <w:shd w:val="clear" w:color="auto" w:fill="auto"/>
            <w:vAlign w:val="center"/>
          </w:tcPr>
          <w:p>
            <w:pPr>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动力设备的节能控制</w:t>
            </w:r>
          </w:p>
        </w:tc>
        <w:tc>
          <w:tcPr>
            <w:tcW w:w="14175" w:type="dxa"/>
            <w:gridSpan w:val="3"/>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□按各专业工艺要求进行节能控制（如水泵水位控制、变频控制、风机的</w:t>
            </w:r>
            <w:r>
              <w:rPr>
                <w:rFonts w:ascii="宋体" w:hAnsi="宋体" w:eastAsia="宋体" w:cs="宋体"/>
                <w:kern w:val="0"/>
                <w:sz w:val="20"/>
                <w:szCs w:val="20"/>
              </w:rPr>
              <w:t>CO、CO2浓度控制等等）</w:t>
            </w:r>
            <w:r>
              <w:rPr>
                <w:rFonts w:ascii="宋体" w:hAnsi="宋体" w:eastAsia="宋体" w:cs="宋体"/>
                <w:kern w:val="0"/>
                <w:sz w:val="20"/>
                <w:szCs w:val="20"/>
              </w:rPr>
              <w:br w:type="textWrapping"/>
            </w:r>
            <w:r>
              <w:rPr>
                <w:rFonts w:hint="eastAsia" w:ascii="宋体" w:hAnsi="宋体" w:eastAsia="宋体" w:cs="宋体"/>
                <w:kern w:val="0"/>
                <w:sz w:val="20"/>
                <w:szCs w:val="20"/>
              </w:rPr>
              <w:t>□自动扶梯、自动人行道具有节能拖动及节能控制装置；电梯配备高效电机及节能运行模式；当两台及以上电梯成组设置时具有群控功能</w:t>
            </w:r>
            <w:r>
              <w:rPr>
                <w:rFonts w:ascii="宋体" w:hAnsi="宋体" w:eastAsia="宋体" w:cs="宋体"/>
                <w:kern w:val="0"/>
                <w:sz w:val="20"/>
                <w:szCs w:val="20"/>
              </w:rPr>
              <w:br w:type="textWrapping"/>
            </w:r>
            <w:r>
              <w:rPr>
                <w:rFonts w:hint="eastAsia" w:ascii="宋体" w:hAnsi="宋体" w:eastAsia="宋体" w:cs="宋体"/>
                <w:kern w:val="0"/>
                <w:sz w:val="20"/>
                <w:szCs w:val="20"/>
              </w:rPr>
              <w:t>□集中制备的电开水炉设有根据温度、时间控制的措施</w:t>
            </w:r>
            <w:r>
              <w:rPr>
                <w:rFonts w:ascii="宋体" w:hAnsi="宋体" w:eastAsia="宋体" w:cs="宋体"/>
                <w:kern w:val="0"/>
                <w:sz w:val="20"/>
                <w:szCs w:val="20"/>
              </w:rPr>
              <w:br w:type="textWrapping"/>
            </w:r>
            <w:r>
              <w:rPr>
                <w:rFonts w:hint="eastAsia" w:ascii="宋体" w:hAnsi="宋体" w:eastAsia="宋体" w:cs="宋体"/>
                <w:kern w:val="0"/>
                <w:sz w:val="20"/>
                <w:szCs w:val="20"/>
              </w:rPr>
              <w:t>□精装修设计，需选用家用电器，采购中国能效标识二级及以上的产品</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016" w:type="dxa"/>
            <w:gridSpan w:val="2"/>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电动汽车充电设备的供配电设计</w:t>
            </w:r>
          </w:p>
        </w:tc>
        <w:tc>
          <w:tcPr>
            <w:tcW w:w="14175"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□电动汽车充电设施的供配电设计满足现行国家、地方标准的要求</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用电计量</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内部用电考核计量、用电分项计量系统设计</w:t>
            </w:r>
          </w:p>
        </w:tc>
        <w:tc>
          <w:tcPr>
            <w:tcW w:w="14175"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□用电计量设置满足电力部门的要求；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□用电分项、分区计量系统满足《公共建筑用电分项分区计量系统设计标准》</w:t>
            </w:r>
            <w:r>
              <w:rPr>
                <w:rFonts w:ascii="宋体" w:hAnsi="宋体" w:eastAsia="宋体" w:cs="宋体"/>
                <w:kern w:val="0"/>
                <w:sz w:val="20"/>
                <w:szCs w:val="20"/>
              </w:rPr>
              <w:t>DB 33/1090</w:t>
            </w:r>
            <w:r>
              <w:rPr>
                <w:rFonts w:hint="eastAsia" w:ascii="宋体" w:hAnsi="宋体" w:eastAsia="宋体" w:cs="宋体"/>
                <w:kern w:val="0"/>
                <w:sz w:val="20"/>
                <w:szCs w:val="20"/>
              </w:rPr>
              <w:t>的要求，计量数据上传至主管部门监控平台；</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□需考核用电量的功能区域设单独计量；</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□可再生能源系统设单独计量。</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08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097"/>
        <w:gridCol w:w="4536"/>
        <w:gridCol w:w="4820"/>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820"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电气与智能化</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智能化</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分类能耗监测系统</w:t>
            </w:r>
          </w:p>
        </w:tc>
        <w:tc>
          <w:tcPr>
            <w:tcW w:w="14175"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□设置分类能耗监测系统（新建国家机关办公建筑、总建筑面积不小于</w:t>
            </w:r>
            <w:r>
              <w:rPr>
                <w:rFonts w:ascii="宋体" w:hAnsi="宋体" w:eastAsia="宋体" w:cs="宋体"/>
                <w:kern w:val="0"/>
                <w:sz w:val="20"/>
                <w:szCs w:val="20"/>
              </w:rPr>
              <w:t>10000</w:t>
            </w:r>
            <w:r>
              <w:rPr>
                <w:rFonts w:hint="eastAsia" w:ascii="宋体" w:hAnsi="宋体" w:eastAsia="宋体" w:cs="宋体"/>
                <w:kern w:val="0"/>
                <w:sz w:val="20"/>
                <w:szCs w:val="20"/>
              </w:rPr>
              <w:t>㎡</w:t>
            </w:r>
            <w:r>
              <w:rPr>
                <w:rFonts w:ascii="宋体" w:hAnsi="宋体" w:eastAsia="宋体" w:cs="宋体"/>
                <w:kern w:val="0"/>
                <w:sz w:val="20"/>
                <w:szCs w:val="20"/>
              </w:rPr>
              <w:t xml:space="preserve"> </w:t>
            </w:r>
            <w:r>
              <w:rPr>
                <w:rFonts w:hint="eastAsia" w:ascii="宋体" w:hAnsi="宋体" w:eastAsia="宋体" w:cs="宋体"/>
                <w:kern w:val="0"/>
                <w:sz w:val="20"/>
                <w:szCs w:val="20"/>
              </w:rPr>
              <w:t>的公共建筑、总建筑面积不小于</w:t>
            </w:r>
            <w:r>
              <w:rPr>
                <w:rFonts w:ascii="宋体" w:hAnsi="宋体" w:eastAsia="宋体" w:cs="宋体"/>
                <w:kern w:val="0"/>
                <w:sz w:val="20"/>
                <w:szCs w:val="20"/>
              </w:rPr>
              <w:t>100000</w:t>
            </w:r>
            <w:r>
              <w:rPr>
                <w:rFonts w:hint="eastAsia" w:ascii="宋体" w:hAnsi="宋体" w:eastAsia="宋体" w:cs="宋体"/>
                <w:kern w:val="0"/>
                <w:sz w:val="20"/>
                <w:szCs w:val="20"/>
              </w:rPr>
              <w:t>㎡的居住建筑）</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智能监控</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□设置建筑设备监控系统；</w:t>
            </w:r>
          </w:p>
          <w:p>
            <w:pPr>
              <w:widowControl/>
              <w:jc w:val="left"/>
              <w:rPr>
                <w:rFonts w:ascii="宋体" w:hAnsi="宋体" w:eastAsia="宋体" w:cs="宋体"/>
                <w:kern w:val="0"/>
                <w:sz w:val="20"/>
                <w:szCs w:val="20"/>
              </w:rPr>
            </w:pPr>
            <w:r>
              <w:rPr>
                <w:rFonts w:hint="eastAsia"/>
              </w:rPr>
              <w:t>（注：总建筑面积大于</w:t>
            </w:r>
            <w:r>
              <w:t>20000</w:t>
            </w:r>
            <w:r>
              <w:rPr>
                <w:rFonts w:hint="eastAsia"/>
              </w:rPr>
              <w:t>㎡的公共建筑且采用集中空调系统时，应设置集中控制的建筑设备管理系统。）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□设置合理的信息网络系统；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□根据需要设置合理的智能化服务系统。</w:t>
            </w:r>
          </w:p>
        </w:tc>
        <w:tc>
          <w:tcPr>
            <w:tcW w:w="482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□设置建筑设备监控系统；</w:t>
            </w:r>
          </w:p>
          <w:p>
            <w:pPr>
              <w:widowControl/>
              <w:jc w:val="left"/>
              <w:rPr>
                <w:rFonts w:ascii="宋体" w:hAnsi="宋体" w:eastAsia="宋体" w:cs="宋体"/>
                <w:kern w:val="0"/>
                <w:sz w:val="20"/>
                <w:szCs w:val="20"/>
              </w:rPr>
            </w:pPr>
            <w:r>
              <w:rPr>
                <w:rFonts w:hint="eastAsia"/>
              </w:rPr>
              <w:t>（注：总建筑面积大于</w:t>
            </w:r>
            <w:r>
              <w:t>20000</w:t>
            </w:r>
            <w:r>
              <w:rPr>
                <w:rFonts w:hint="eastAsia"/>
              </w:rPr>
              <w:t>㎡的公共建筑且采用集中空调系统时，应设置集中控制的建筑设备管理系统。）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□设置合理的信息网络系统；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□根据需要设置合理的智能化服务系统；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□智能化服务系统具有远程监控功能，并宜具有接入智慧城市（城区、社区）平台的功能。</w:t>
            </w:r>
          </w:p>
        </w:tc>
        <w:tc>
          <w:tcPr>
            <w:tcW w:w="48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□设置建筑设备监控系统；</w:t>
            </w:r>
          </w:p>
          <w:p>
            <w:pPr>
              <w:widowControl/>
              <w:jc w:val="left"/>
              <w:rPr>
                <w:rFonts w:ascii="宋体" w:hAnsi="宋体" w:eastAsia="宋体" w:cs="宋体"/>
                <w:kern w:val="0"/>
                <w:sz w:val="20"/>
                <w:szCs w:val="20"/>
              </w:rPr>
            </w:pPr>
            <w:r>
              <w:rPr>
                <w:rFonts w:hint="eastAsia"/>
              </w:rPr>
              <w:t>（注：总建筑面积大于</w:t>
            </w:r>
            <w:r>
              <w:t>20000</w:t>
            </w:r>
            <w:r>
              <w:rPr>
                <w:rFonts w:hint="eastAsia"/>
              </w:rPr>
              <w:t>㎡的公共建筑且采用集中空调系统时，应设置集中控制的建筑设备管理系统。）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□设置合理的信息网络系统；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□根据需要设置合理的智能化服务系统；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□智能化服务系统具有远程监控功能，并宜具有接入智慧城市（城区、社区）平台的功能；</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□采用大数据分析技术，分析并优化设备的运行状态和能耗。</w:t>
            </w:r>
          </w:p>
        </w:tc>
        <w:tc>
          <w:tcPr>
            <w:tcW w:w="1220" w:type="dxa"/>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计算书</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用电负荷计算</w:t>
            </w:r>
          </w:p>
        </w:tc>
        <w:tc>
          <w:tcPr>
            <w:tcW w:w="4536"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□采用需要系数法（或精度相当的其他方法）进行负荷计算，计算取值合理</w:t>
            </w:r>
            <w:r>
              <w:rPr>
                <w:rFonts w:ascii="宋体" w:hAnsi="宋体" w:eastAsia="宋体" w:cs="宋体"/>
                <w:kern w:val="0"/>
                <w:sz w:val="20"/>
                <w:szCs w:val="20"/>
              </w:rPr>
              <w:br w:type="textWrapping"/>
            </w:r>
            <w:r>
              <w:rPr>
                <w:rFonts w:hint="eastAsia" w:ascii="宋体" w:hAnsi="宋体" w:eastAsia="宋体" w:cs="宋体"/>
                <w:kern w:val="0"/>
                <w:sz w:val="20"/>
                <w:szCs w:val="20"/>
              </w:rPr>
              <w:t>□变压器数量、容量、负载率合理</w:t>
            </w:r>
            <w:r>
              <w:rPr>
                <w:rFonts w:ascii="宋体" w:hAnsi="宋体" w:eastAsia="宋体" w:cs="宋体"/>
                <w:kern w:val="0"/>
                <w:sz w:val="20"/>
                <w:szCs w:val="20"/>
              </w:rPr>
              <w:br w:type="textWrapping"/>
            </w:r>
            <w:r>
              <w:rPr>
                <w:rFonts w:hint="eastAsia" w:ascii="宋体" w:hAnsi="宋体" w:eastAsia="宋体" w:cs="宋体"/>
                <w:kern w:val="0"/>
                <w:sz w:val="20"/>
                <w:szCs w:val="20"/>
              </w:rPr>
              <w:t>□自备电源数量、容量合理</w:t>
            </w:r>
            <w:r>
              <w:rPr>
                <w:rFonts w:ascii="宋体" w:hAnsi="宋体" w:eastAsia="宋体" w:cs="宋体"/>
                <w:kern w:val="0"/>
                <w:sz w:val="20"/>
                <w:szCs w:val="20"/>
              </w:rPr>
              <w:br w:type="textWrapping"/>
            </w:r>
            <w:r>
              <w:rPr>
                <w:rFonts w:hint="eastAsia" w:ascii="宋体" w:hAnsi="宋体" w:eastAsia="宋体" w:cs="宋体"/>
                <w:kern w:val="0"/>
                <w:sz w:val="20"/>
                <w:szCs w:val="20"/>
              </w:rPr>
              <w:t>□照明功率密度值：室内主要场所的</w:t>
            </w:r>
            <w:r>
              <w:rPr>
                <w:rFonts w:ascii="宋体" w:hAnsi="宋体" w:eastAsia="宋体" w:cs="宋体"/>
                <w:kern w:val="0"/>
                <w:sz w:val="20"/>
                <w:szCs w:val="20"/>
              </w:rPr>
              <w:t>LPD按目标值执行</w:t>
            </w:r>
            <w:r>
              <w:rPr>
                <w:rFonts w:ascii="宋体" w:hAnsi="宋体" w:eastAsia="宋体" w:cs="宋体"/>
                <w:kern w:val="0"/>
                <w:sz w:val="20"/>
                <w:szCs w:val="20"/>
              </w:rPr>
              <w:br w:type="textWrapping"/>
            </w:r>
            <w:r>
              <w:rPr>
                <w:rFonts w:hint="eastAsia" w:ascii="宋体" w:hAnsi="宋体" w:eastAsia="宋体" w:cs="宋体"/>
                <w:kern w:val="0"/>
                <w:sz w:val="20"/>
                <w:szCs w:val="20"/>
              </w:rPr>
              <w:t>□太阳能光伏发电系统装机容量、年发电量计算。</w:t>
            </w:r>
          </w:p>
        </w:tc>
        <w:tc>
          <w:tcPr>
            <w:tcW w:w="4820"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□采用需要系数法（或精度相当的其他方法）进行负荷计算，计算取值合理</w:t>
            </w:r>
            <w:r>
              <w:rPr>
                <w:rFonts w:ascii="宋体" w:hAnsi="宋体" w:eastAsia="宋体" w:cs="宋体"/>
                <w:kern w:val="0"/>
                <w:sz w:val="20"/>
                <w:szCs w:val="20"/>
              </w:rPr>
              <w:br w:type="textWrapping"/>
            </w:r>
            <w:r>
              <w:rPr>
                <w:rFonts w:hint="eastAsia" w:ascii="宋体" w:hAnsi="宋体" w:eastAsia="宋体" w:cs="宋体"/>
                <w:kern w:val="0"/>
                <w:sz w:val="20"/>
                <w:szCs w:val="20"/>
              </w:rPr>
              <w:t>□变压器数量、容量、负载率合理</w:t>
            </w:r>
            <w:r>
              <w:rPr>
                <w:rFonts w:ascii="宋体" w:hAnsi="宋体" w:eastAsia="宋体" w:cs="宋体"/>
                <w:kern w:val="0"/>
                <w:sz w:val="20"/>
                <w:szCs w:val="20"/>
              </w:rPr>
              <w:br w:type="textWrapping"/>
            </w:r>
            <w:r>
              <w:rPr>
                <w:rFonts w:hint="eastAsia" w:ascii="宋体" w:hAnsi="宋体" w:eastAsia="宋体" w:cs="宋体"/>
                <w:kern w:val="0"/>
                <w:sz w:val="20"/>
                <w:szCs w:val="20"/>
              </w:rPr>
              <w:t>□自备电源数量、容量合理</w:t>
            </w:r>
            <w:r>
              <w:rPr>
                <w:rFonts w:ascii="宋体" w:hAnsi="宋体" w:eastAsia="宋体" w:cs="宋体"/>
                <w:kern w:val="0"/>
                <w:sz w:val="20"/>
                <w:szCs w:val="20"/>
              </w:rPr>
              <w:br w:type="textWrapping"/>
            </w:r>
            <w:r>
              <w:rPr>
                <w:rFonts w:hint="eastAsia" w:ascii="宋体" w:hAnsi="宋体" w:eastAsia="宋体" w:cs="宋体"/>
                <w:kern w:val="0"/>
                <w:sz w:val="20"/>
                <w:szCs w:val="20"/>
              </w:rPr>
              <w:t>□照明功率密度值：室内主要场所的</w:t>
            </w:r>
            <w:r>
              <w:rPr>
                <w:rFonts w:ascii="宋体" w:hAnsi="宋体" w:eastAsia="宋体" w:cs="宋体"/>
                <w:kern w:val="0"/>
                <w:sz w:val="20"/>
                <w:szCs w:val="20"/>
              </w:rPr>
              <w:t>LPD按目标值执行</w:t>
            </w:r>
            <w:r>
              <w:rPr>
                <w:rFonts w:ascii="宋体" w:hAnsi="宋体" w:eastAsia="宋体" w:cs="宋体"/>
                <w:kern w:val="0"/>
                <w:sz w:val="20"/>
                <w:szCs w:val="20"/>
              </w:rPr>
              <w:br w:type="textWrapping"/>
            </w:r>
            <w:r>
              <w:rPr>
                <w:rFonts w:hint="eastAsia" w:ascii="宋体" w:hAnsi="宋体" w:eastAsia="宋体" w:cs="宋体"/>
                <w:kern w:val="0"/>
                <w:sz w:val="20"/>
                <w:szCs w:val="20"/>
              </w:rPr>
              <w:t>□太阳能光伏发电系统装机容量、年发电量计算。</w:t>
            </w:r>
          </w:p>
        </w:tc>
        <w:tc>
          <w:tcPr>
            <w:tcW w:w="48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□采用需要系数法（或精度相当的其他方法）进行负荷计算，计算取值合理</w:t>
            </w:r>
            <w:r>
              <w:rPr>
                <w:rFonts w:ascii="宋体" w:hAnsi="宋体" w:eastAsia="宋体" w:cs="宋体"/>
                <w:kern w:val="0"/>
                <w:sz w:val="20"/>
                <w:szCs w:val="20"/>
              </w:rPr>
              <w:br w:type="textWrapping"/>
            </w:r>
            <w:r>
              <w:rPr>
                <w:rFonts w:hint="eastAsia" w:ascii="宋体" w:hAnsi="宋体" w:eastAsia="宋体" w:cs="宋体"/>
                <w:kern w:val="0"/>
                <w:sz w:val="20"/>
                <w:szCs w:val="20"/>
              </w:rPr>
              <w:t>□变压器数量、容量、负载率合理</w:t>
            </w:r>
            <w:r>
              <w:rPr>
                <w:rFonts w:ascii="宋体" w:hAnsi="宋体" w:eastAsia="宋体" w:cs="宋体"/>
                <w:kern w:val="0"/>
                <w:sz w:val="20"/>
                <w:szCs w:val="20"/>
              </w:rPr>
              <w:br w:type="textWrapping"/>
            </w:r>
            <w:r>
              <w:rPr>
                <w:rFonts w:hint="eastAsia" w:ascii="宋体" w:hAnsi="宋体" w:eastAsia="宋体" w:cs="宋体"/>
                <w:kern w:val="0"/>
                <w:sz w:val="20"/>
                <w:szCs w:val="20"/>
              </w:rPr>
              <w:t>□自备电源数量、容量合理</w:t>
            </w:r>
            <w:r>
              <w:rPr>
                <w:rFonts w:ascii="宋体" w:hAnsi="宋体" w:eastAsia="宋体" w:cs="宋体"/>
                <w:kern w:val="0"/>
                <w:sz w:val="20"/>
                <w:szCs w:val="20"/>
              </w:rPr>
              <w:br w:type="textWrapping"/>
            </w:r>
            <w:r>
              <w:rPr>
                <w:rFonts w:hint="eastAsia" w:ascii="宋体" w:hAnsi="宋体" w:eastAsia="宋体" w:cs="宋体"/>
                <w:kern w:val="0"/>
                <w:sz w:val="20"/>
                <w:szCs w:val="20"/>
              </w:rPr>
              <w:t>□照明功率密度值：室内所有场所的</w:t>
            </w:r>
            <w:r>
              <w:rPr>
                <w:rFonts w:ascii="宋体" w:hAnsi="宋体" w:eastAsia="宋体" w:cs="宋体"/>
                <w:kern w:val="0"/>
                <w:sz w:val="20"/>
                <w:szCs w:val="20"/>
              </w:rPr>
              <w:t>LPD按目标值执行</w:t>
            </w:r>
            <w:r>
              <w:rPr>
                <w:rFonts w:ascii="宋体" w:hAnsi="宋体" w:eastAsia="宋体" w:cs="宋体"/>
                <w:kern w:val="0"/>
                <w:sz w:val="20"/>
                <w:szCs w:val="20"/>
              </w:rPr>
              <w:br w:type="textWrapping"/>
            </w:r>
            <w:r>
              <w:rPr>
                <w:rFonts w:hint="eastAsia" w:ascii="宋体" w:hAnsi="宋体" w:eastAsia="宋体" w:cs="宋体"/>
                <w:kern w:val="0"/>
                <w:sz w:val="20"/>
                <w:szCs w:val="20"/>
              </w:rPr>
              <w:t>□室外照度标准、照明功率密度满足《城市夜景照明设计规范》</w:t>
            </w:r>
            <w:r>
              <w:rPr>
                <w:rFonts w:ascii="宋体" w:hAnsi="宋体" w:eastAsia="宋体" w:cs="宋体"/>
                <w:kern w:val="0"/>
                <w:sz w:val="20"/>
                <w:szCs w:val="20"/>
              </w:rPr>
              <w:t>JGJ/T 163、浙江省标准</w:t>
            </w:r>
            <w:r>
              <w:rPr>
                <w:rFonts w:hint="eastAsia" w:ascii="宋体" w:hAnsi="宋体" w:eastAsia="宋体" w:cs="宋体"/>
                <w:sz w:val="20"/>
                <w:szCs w:val="20"/>
              </w:rPr>
              <w:t>《</w:t>
            </w:r>
            <w:r>
              <w:rPr>
                <w:rFonts w:ascii="宋体" w:hAnsi="宋体" w:eastAsia="宋体" w:cs="宋体"/>
                <w:sz w:val="20"/>
                <w:szCs w:val="20"/>
              </w:rPr>
              <w:t>环境照明工程设计规范</w:t>
            </w:r>
            <w:r>
              <w:rPr>
                <w:rFonts w:hint="eastAsia" w:ascii="宋体" w:hAnsi="宋体" w:eastAsia="宋体" w:cs="宋体"/>
                <w:sz w:val="20"/>
                <w:szCs w:val="20"/>
              </w:rPr>
              <w:t>》</w:t>
            </w:r>
            <w:r>
              <w:rPr>
                <w:rFonts w:ascii="宋体" w:hAnsi="宋体" w:eastAsia="宋体" w:cs="宋体"/>
                <w:sz w:val="20"/>
                <w:szCs w:val="20"/>
              </w:rPr>
              <w:t xml:space="preserve"> DB33/T 1055-2018</w:t>
            </w:r>
            <w:r>
              <w:rPr>
                <w:rFonts w:hint="eastAsia" w:ascii="宋体" w:hAnsi="宋体" w:eastAsia="宋体" w:cs="宋体"/>
                <w:kern w:val="0"/>
                <w:sz w:val="20"/>
                <w:szCs w:val="20"/>
              </w:rPr>
              <w:t>的要求</w:t>
            </w:r>
            <w:r>
              <w:rPr>
                <w:rFonts w:ascii="宋体" w:hAnsi="宋体" w:eastAsia="宋体" w:cs="宋体"/>
                <w:kern w:val="0"/>
                <w:sz w:val="20"/>
                <w:szCs w:val="20"/>
              </w:rPr>
              <w:br w:type="textWrapping"/>
            </w:r>
            <w:r>
              <w:rPr>
                <w:rFonts w:hint="eastAsia" w:ascii="宋体" w:hAnsi="宋体" w:eastAsia="宋体" w:cs="宋体"/>
                <w:kern w:val="0"/>
                <w:sz w:val="20"/>
                <w:szCs w:val="20"/>
              </w:rPr>
              <w:t>□太阳能光伏发电系统装机容量、年发电量计算。</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无功补偿及变压器选型计算</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自备电源负荷计算</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照度、照明功率密度值计算</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太阳能光伏系统等其它有关节能的计算书完整准确。</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设计图纸</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电气总平面图：标示建筑物、构筑物名称、高度；变、配、发电站位置；高、低压线路走向等内容；</w:t>
            </w:r>
          </w:p>
        </w:tc>
        <w:tc>
          <w:tcPr>
            <w:tcW w:w="14175"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□复核变、配、发电系统位置、供电范围应合理；</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ascii="宋体" w:hAnsi="宋体" w:eastAsia="宋体" w:cs="宋体"/>
                <w:kern w:val="0"/>
                <w:sz w:val="20"/>
                <w:szCs w:val="20"/>
              </w:rPr>
              <w:t>380V/220V系</w:t>
            </w:r>
            <w:r>
              <w:rPr>
                <w:rFonts w:hint="eastAsia" w:ascii="宋体" w:hAnsi="宋体" w:eastAsia="宋体" w:cs="宋体"/>
                <w:kern w:val="0"/>
                <w:sz w:val="20"/>
                <w:szCs w:val="20"/>
              </w:rPr>
              <w:t>系统供电半径满足相应星级要求</w:t>
            </w:r>
            <w:r>
              <w:rPr>
                <w:rFonts w:ascii="宋体" w:hAnsi="宋体" w:eastAsia="宋体" w:cs="宋体"/>
                <w:kern w:val="0"/>
                <w:sz w:val="20"/>
                <w:szCs w:val="20"/>
              </w:rPr>
              <w:br w:type="textWrapping"/>
            </w:r>
            <w:r>
              <w:rPr>
                <w:rFonts w:hint="eastAsia" w:ascii="宋体" w:hAnsi="宋体" w:eastAsia="宋体" w:cs="宋体"/>
                <w:kern w:val="0"/>
                <w:sz w:val="20"/>
                <w:szCs w:val="20"/>
              </w:rPr>
              <w:t>□复核变压器数量、容量、负载率应合理；复核自备电源数量、容量应合理</w:t>
            </w:r>
            <w:r>
              <w:rPr>
                <w:rFonts w:ascii="宋体" w:hAnsi="宋体" w:eastAsia="宋体" w:cs="宋体"/>
                <w:kern w:val="0"/>
                <w:sz w:val="20"/>
                <w:szCs w:val="20"/>
              </w:rPr>
              <w:br w:type="textWrapping"/>
            </w:r>
            <w:r>
              <w:rPr>
                <w:rFonts w:hint="eastAsia" w:ascii="宋体" w:hAnsi="宋体" w:eastAsia="宋体" w:cs="宋体"/>
                <w:kern w:val="0"/>
                <w:sz w:val="20"/>
                <w:szCs w:val="20"/>
              </w:rPr>
              <w:t>□复核变压器：接线组别选择合理；能效满足绿色星级要求</w:t>
            </w:r>
            <w:r>
              <w:rPr>
                <w:rFonts w:ascii="宋体" w:hAnsi="宋体" w:eastAsia="宋体" w:cs="宋体"/>
                <w:kern w:val="0"/>
                <w:sz w:val="20"/>
                <w:szCs w:val="20"/>
              </w:rPr>
              <w:br w:type="textWrapping"/>
            </w:r>
            <w:r>
              <w:rPr>
                <w:rFonts w:hint="eastAsia" w:ascii="宋体" w:hAnsi="宋体" w:eastAsia="宋体" w:cs="宋体"/>
                <w:kern w:val="0"/>
                <w:sz w:val="20"/>
                <w:szCs w:val="20"/>
              </w:rPr>
              <w:t>□变压器等的运行方案明确、利于节能</w:t>
            </w:r>
            <w:r>
              <w:rPr>
                <w:rFonts w:ascii="宋体" w:hAnsi="宋体" w:eastAsia="宋体" w:cs="宋体"/>
                <w:kern w:val="0"/>
                <w:sz w:val="20"/>
                <w:szCs w:val="20"/>
              </w:rPr>
              <w:br w:type="textWrapping"/>
            </w:r>
            <w:r>
              <w:rPr>
                <w:rFonts w:hint="eastAsia" w:ascii="宋体" w:hAnsi="宋体" w:eastAsia="宋体" w:cs="宋体"/>
                <w:kern w:val="0"/>
                <w:sz w:val="20"/>
                <w:szCs w:val="20"/>
              </w:rPr>
              <w:t>□无功补偿、谐波防治满足相应星级要求</w:t>
            </w:r>
            <w:r>
              <w:rPr>
                <w:rFonts w:ascii="宋体" w:hAnsi="宋体" w:eastAsia="宋体" w:cs="宋体"/>
                <w:kern w:val="0"/>
                <w:sz w:val="20"/>
                <w:szCs w:val="20"/>
              </w:rPr>
              <w:br w:type="textWrapping"/>
            </w:r>
            <w:r>
              <w:rPr>
                <w:rFonts w:hint="eastAsia" w:ascii="宋体" w:hAnsi="宋体" w:eastAsia="宋体" w:cs="宋体"/>
                <w:kern w:val="0"/>
                <w:sz w:val="20"/>
                <w:szCs w:val="20"/>
              </w:rPr>
              <w:t>□电动汽车充电设施的供配电设计满足规范等相关要求</w:t>
            </w:r>
            <w:r>
              <w:rPr>
                <w:rFonts w:ascii="宋体" w:hAnsi="宋体" w:eastAsia="宋体" w:cs="宋体"/>
                <w:kern w:val="0"/>
                <w:sz w:val="20"/>
                <w:szCs w:val="20"/>
              </w:rPr>
              <w:br w:type="textWrapping"/>
            </w:r>
            <w:r>
              <w:rPr>
                <w:rFonts w:hint="eastAsia" w:ascii="宋体" w:hAnsi="宋体" w:eastAsia="宋体" w:cs="宋体"/>
                <w:kern w:val="0"/>
                <w:sz w:val="20"/>
                <w:szCs w:val="20"/>
              </w:rPr>
              <w:t>□复核用电分项、分区计量系统的设计应满足国家及浙江省标准的要求</w:t>
            </w:r>
            <w:r>
              <w:rPr>
                <w:rFonts w:ascii="宋体" w:hAnsi="宋体" w:eastAsia="宋体" w:cs="宋体"/>
                <w:kern w:val="0"/>
                <w:sz w:val="20"/>
                <w:szCs w:val="20"/>
              </w:rPr>
              <w:br w:type="textWrapping"/>
            </w:r>
            <w:r>
              <w:rPr>
                <w:rFonts w:hint="eastAsia" w:ascii="宋体" w:hAnsi="宋体" w:eastAsia="宋体" w:cs="宋体"/>
                <w:kern w:val="0"/>
                <w:sz w:val="20"/>
                <w:szCs w:val="20"/>
              </w:rPr>
              <w:t>□能耗监测系统的设置满足《绿色建筑设计标准》的要求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□建筑设备监控系统的设置满足《绿色建筑设计标准》的要求</w:t>
            </w:r>
            <w:r>
              <w:rPr>
                <w:rFonts w:ascii="宋体" w:hAnsi="宋体" w:eastAsia="宋体" w:cs="宋体"/>
                <w:kern w:val="0"/>
                <w:sz w:val="20"/>
                <w:szCs w:val="20"/>
              </w:rPr>
              <w:br w:type="textWrapping"/>
            </w:r>
            <w:r>
              <w:rPr>
                <w:rFonts w:hint="eastAsia" w:ascii="宋体" w:hAnsi="宋体" w:eastAsia="宋体" w:cs="宋体"/>
                <w:kern w:val="0"/>
                <w:sz w:val="20"/>
                <w:szCs w:val="20"/>
              </w:rPr>
              <w:t>□□信息网络系统、智能化服务系统满足绿色星级要求</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变、配、发电系统：高、低压供电系统图、自备发电机供电系统图、太阳能光伏系统图等内容；</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变、配、发电站平面布置图；</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配电系统：主要干线平面布置图﹑竖向干线系统图等；</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相关的智能化系统的系统原理图或系统接线图。</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08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097"/>
        <w:gridCol w:w="4536"/>
        <w:gridCol w:w="4820"/>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820"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shd w:val="clear" w:color="auto" w:fill="auto"/>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给排水</w:t>
            </w:r>
          </w:p>
        </w:tc>
        <w:tc>
          <w:tcPr>
            <w:tcW w:w="919" w:type="dxa"/>
            <w:vMerge w:val="restart"/>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给水系统</w:t>
            </w:r>
          </w:p>
        </w:tc>
        <w:tc>
          <w:tcPr>
            <w:tcW w:w="3097"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水资源综合利用方案</w:t>
            </w:r>
          </w:p>
        </w:tc>
        <w:tc>
          <w:tcPr>
            <w:tcW w:w="4536"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□制定水资源综合利用方案，统筹利用各种水资源。</w:t>
            </w:r>
          </w:p>
          <w:p>
            <w:pPr>
              <w:jc w:val="left"/>
              <w:rPr>
                <w:rFonts w:ascii="宋体" w:hAnsi="宋体" w:eastAsia="宋体" w:cs="宋体"/>
                <w:kern w:val="0"/>
                <w:sz w:val="20"/>
                <w:szCs w:val="20"/>
              </w:rPr>
            </w:pPr>
            <w:r>
              <w:rPr>
                <w:rFonts w:hint="eastAsia" w:ascii="宋体" w:hAnsi="宋体" w:eastAsia="宋体" w:cs="宋体"/>
                <w:kern w:val="0"/>
                <w:sz w:val="20"/>
                <w:szCs w:val="20"/>
              </w:rPr>
              <w:t>□项目的最高日、平均日用水量以及年用水量符合现行国家规范和标准要求。</w:t>
            </w:r>
            <w:r>
              <w:rPr>
                <w:rFonts w:ascii="宋体" w:hAnsi="宋体" w:eastAsia="宋体" w:cs="宋体"/>
                <w:kern w:val="0"/>
                <w:sz w:val="20"/>
                <w:szCs w:val="20"/>
              </w:rPr>
              <w:t xml:space="preserve">                                                                                                  □充分利用市政供水压力，加压供水系统卫生安全、经济节能，合理配置给水设施，水泵选用符合节能设备的要求，水泵运行工作点在其高效区内。区域水泵房服务范围供水半径不大于500米。                                                                                                         </w:t>
            </w:r>
            <w:r>
              <w:rPr>
                <w:rFonts w:hint="eastAsia" w:ascii="宋体" w:hAnsi="宋体" w:eastAsia="宋体" w:cs="宋体"/>
                <w:kern w:val="0"/>
                <w:sz w:val="20"/>
                <w:szCs w:val="20"/>
              </w:rPr>
              <w:t>□多层、高层建筑的给水、中水系统竖向分区合理，每区供水静压力不大于规范限值；</w:t>
            </w:r>
            <w:r>
              <w:rPr>
                <w:rFonts w:ascii="宋体" w:hAnsi="宋体" w:eastAsia="宋体" w:cs="宋体"/>
                <w:kern w:val="0"/>
                <w:sz w:val="20"/>
                <w:szCs w:val="20"/>
              </w:rPr>
              <w:t xml:space="preserve">                                                                                                                                                                              </w:t>
            </w:r>
            <w:r>
              <w:rPr>
                <w:rFonts w:hint="eastAsia" w:ascii="宋体" w:hAnsi="宋体" w:eastAsia="宋体" w:cs="宋体"/>
                <w:kern w:val="0"/>
                <w:sz w:val="20"/>
                <w:szCs w:val="20"/>
              </w:rPr>
              <w:t>□生活给水系统用水点处供水压力不大于</w:t>
            </w:r>
            <w:r>
              <w:rPr>
                <w:rFonts w:ascii="宋体" w:hAnsi="宋体" w:eastAsia="宋体" w:cs="宋体"/>
                <w:kern w:val="0"/>
                <w:sz w:val="20"/>
                <w:szCs w:val="20"/>
              </w:rPr>
              <w:t>0.2MPa，且不小于用水器具要求的最低压力；</w:t>
            </w:r>
          </w:p>
          <w:p>
            <w:pPr>
              <w:jc w:val="left"/>
              <w:rPr>
                <w:rFonts w:ascii="宋体" w:hAnsi="宋体" w:eastAsia="宋体" w:cs="宋体"/>
                <w:kern w:val="0"/>
                <w:sz w:val="20"/>
                <w:szCs w:val="20"/>
              </w:rPr>
            </w:pPr>
            <w:r>
              <w:rPr>
                <w:rFonts w:hint="eastAsia" w:ascii="宋体" w:hAnsi="宋体" w:eastAsia="宋体" w:cs="宋体"/>
                <w:kern w:val="0"/>
                <w:sz w:val="20"/>
                <w:szCs w:val="20"/>
              </w:rPr>
              <w:t>□采用符合国家现行有关标准要求的成品水箱，采取保证储水不变质的措施，制定水池、水箱等储水设施定期清洗消毒计划，且生活饮用水储水设施每半年清洗消毒不应少于</w:t>
            </w:r>
            <w:r>
              <w:rPr>
                <w:rFonts w:ascii="宋体" w:hAnsi="宋体" w:eastAsia="宋体" w:cs="宋体"/>
                <w:kern w:val="0"/>
                <w:sz w:val="20"/>
                <w:szCs w:val="20"/>
              </w:rPr>
              <w:t xml:space="preserve">1次。                                                                                                                                                                                                                                                                                         □绿化灌溉采用喷灌、微灌、渗灌等高效节水灌溉方式，采用微灌方式时，在供水管路的入口处设过滤装置；                                                                                                                                                                                                                                                                                                                          □按照使用用途、管理单元、付费单元和根据水量平衡测试及管网漏损检测等要求设置计量水表；                                                                                                                                                                                                                                                                                                                                                               □游泳池、洗车场、集中空调用冷却水等用水循环处理使用；                                                                                                                                                                                                               </w:t>
            </w:r>
          </w:p>
          <w:p>
            <w:pPr>
              <w:jc w:val="left"/>
              <w:rPr>
                <w:rFonts w:ascii="宋体" w:hAnsi="宋体" w:eastAsia="宋体" w:cs="宋体"/>
                <w:kern w:val="0"/>
                <w:sz w:val="20"/>
                <w:szCs w:val="20"/>
              </w:rPr>
            </w:pPr>
            <w:r>
              <w:rPr>
                <w:rFonts w:hint="eastAsia" w:ascii="宋体" w:hAnsi="宋体" w:eastAsia="宋体" w:cs="宋体"/>
                <w:kern w:val="0"/>
                <w:sz w:val="20"/>
                <w:szCs w:val="20"/>
              </w:rPr>
              <w:t>□循环冷却水系统采取设置水处理措施、加大集水盘、设置平衡管或平衡水箱等方式，避免冷却水泵停泵时冷却水溢出。</w:t>
            </w:r>
          </w:p>
        </w:tc>
        <w:tc>
          <w:tcPr>
            <w:tcW w:w="4820"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□制定水资源综合利用方案，统筹利用各种水资源。</w:t>
            </w:r>
          </w:p>
          <w:p>
            <w:pPr>
              <w:jc w:val="left"/>
              <w:rPr>
                <w:rFonts w:ascii="宋体" w:hAnsi="宋体" w:eastAsia="宋体" w:cs="宋体"/>
                <w:kern w:val="0"/>
                <w:sz w:val="20"/>
                <w:szCs w:val="20"/>
              </w:rPr>
            </w:pPr>
            <w:r>
              <w:rPr>
                <w:rFonts w:hint="eastAsia" w:ascii="宋体" w:hAnsi="宋体" w:eastAsia="宋体" w:cs="宋体"/>
                <w:kern w:val="0"/>
                <w:sz w:val="20"/>
                <w:szCs w:val="20"/>
              </w:rPr>
              <w:t>□项目的最高日、平均日用水量以及年用水量符合现行国家规范和标准要求。</w:t>
            </w:r>
            <w:r>
              <w:rPr>
                <w:rFonts w:ascii="宋体" w:hAnsi="宋体" w:eastAsia="宋体" w:cs="宋体"/>
                <w:kern w:val="0"/>
                <w:sz w:val="20"/>
                <w:szCs w:val="20"/>
              </w:rPr>
              <w:t xml:space="preserve">                                                                                                  </w:t>
            </w:r>
            <w:r>
              <w:rPr>
                <w:rFonts w:hint="eastAsia" w:ascii="宋体" w:hAnsi="宋体" w:eastAsia="宋体" w:cs="宋体"/>
                <w:kern w:val="0"/>
                <w:sz w:val="20"/>
                <w:szCs w:val="20"/>
              </w:rPr>
              <w:t>□充分利用市政供水压力，加压供水系统卫生安全、经济节能，合理配置给水设施，水泵选用符合节能设备的要求，水泵运行工作点在其高效区内。区域水泵房服务范围供水半径不大于</w:t>
            </w:r>
            <w:r>
              <w:rPr>
                <w:rFonts w:ascii="宋体" w:hAnsi="宋体" w:eastAsia="宋体" w:cs="宋体"/>
                <w:kern w:val="0"/>
                <w:sz w:val="20"/>
                <w:szCs w:val="20"/>
              </w:rPr>
              <w:t xml:space="preserve">500米。                                                                                                         </w:t>
            </w:r>
            <w:r>
              <w:rPr>
                <w:rFonts w:hint="eastAsia" w:ascii="宋体" w:hAnsi="宋体" w:eastAsia="宋体" w:cs="宋体"/>
                <w:kern w:val="0"/>
                <w:sz w:val="20"/>
                <w:szCs w:val="20"/>
              </w:rPr>
              <w:t>□多层、高层建筑的给水、中水系统竖向分区合理，每区供水静压力不大于规范限值；</w:t>
            </w:r>
            <w:r>
              <w:rPr>
                <w:rFonts w:ascii="宋体" w:hAnsi="宋体" w:eastAsia="宋体" w:cs="宋体"/>
                <w:kern w:val="0"/>
                <w:sz w:val="20"/>
                <w:szCs w:val="20"/>
              </w:rPr>
              <w:t xml:space="preserve">                                                                                                                                                                              </w:t>
            </w:r>
            <w:r>
              <w:rPr>
                <w:rFonts w:hint="eastAsia" w:ascii="宋体" w:hAnsi="宋体" w:eastAsia="宋体" w:cs="宋体"/>
                <w:kern w:val="0"/>
                <w:sz w:val="20"/>
                <w:szCs w:val="20"/>
              </w:rPr>
              <w:t>□生活给水系统用水点处供水压力不大于</w:t>
            </w:r>
            <w:r>
              <w:rPr>
                <w:rFonts w:ascii="宋体" w:hAnsi="宋体" w:eastAsia="宋体" w:cs="宋体"/>
                <w:kern w:val="0"/>
                <w:sz w:val="20"/>
                <w:szCs w:val="20"/>
              </w:rPr>
              <w:t>0.2MPa，且不小于用水器具要求的最低压力；</w:t>
            </w:r>
          </w:p>
          <w:p>
            <w:pPr>
              <w:jc w:val="left"/>
              <w:rPr>
                <w:rFonts w:ascii="宋体" w:hAnsi="宋体" w:eastAsia="宋体" w:cs="宋体"/>
                <w:kern w:val="0"/>
                <w:sz w:val="20"/>
                <w:szCs w:val="20"/>
              </w:rPr>
            </w:pPr>
            <w:r>
              <w:rPr>
                <w:rFonts w:hint="eastAsia" w:ascii="宋体" w:hAnsi="宋体" w:eastAsia="宋体" w:cs="宋体"/>
                <w:kern w:val="0"/>
                <w:sz w:val="20"/>
                <w:szCs w:val="20"/>
              </w:rPr>
              <w:t>□采用符合国家现行有关标准要求的成品水箱，采取保证储水不变质的措施，制定水池、水箱等储水设施定期清洗消毒计划，且生活饮用水储水设施每半年清洗消毒不应少于</w:t>
            </w:r>
            <w:r>
              <w:rPr>
                <w:rFonts w:ascii="宋体" w:hAnsi="宋体" w:eastAsia="宋体" w:cs="宋体"/>
                <w:kern w:val="0"/>
                <w:sz w:val="20"/>
                <w:szCs w:val="20"/>
              </w:rPr>
              <w:t xml:space="preserve">1次。                                                                                                                                                                                                                                                                                             □绿化灌溉采用喷灌、微灌、渗灌等高效节水灌溉方式，采用微灌方式时，在供水管路的入口处设过滤装置；                                                                                                                               □车库和道路冲洗采用节水高压水枪；                                                                                                                                                                                                                                                                                                                                                                                   □按照使用用途、管理单元、付费单元和根据水量平衡测试及管网漏损检测等要求设置计量水表；                                                                                                                                                                                                                                                                                                                                                               □游泳池、洗车场、集中空调用冷却水等用水循环处理使用；                                                                                                                                                                                                               </w:t>
            </w:r>
          </w:p>
          <w:p>
            <w:pPr>
              <w:jc w:val="left"/>
              <w:rPr>
                <w:rFonts w:ascii="宋体" w:hAnsi="宋体" w:eastAsia="宋体" w:cs="宋体"/>
                <w:kern w:val="0"/>
                <w:sz w:val="20"/>
                <w:szCs w:val="20"/>
              </w:rPr>
            </w:pPr>
            <w:r>
              <w:rPr>
                <w:rFonts w:hint="eastAsia" w:ascii="宋体" w:hAnsi="宋体" w:eastAsia="宋体" w:cs="宋体"/>
                <w:kern w:val="0"/>
                <w:sz w:val="20"/>
                <w:szCs w:val="20"/>
              </w:rPr>
              <w:t>□循环冷却水系统采取设置水处理措施、加大集水盘、设置平衡管或平衡水箱等方式，避免冷却水泵停泵时冷却水溢出。</w:t>
            </w:r>
          </w:p>
          <w:p>
            <w:pPr>
              <w:jc w:val="left"/>
              <w:rPr>
                <w:rFonts w:ascii="宋体" w:hAnsi="宋体" w:eastAsia="宋体" w:cs="宋体"/>
                <w:kern w:val="0"/>
                <w:sz w:val="20"/>
                <w:szCs w:val="20"/>
              </w:rPr>
            </w:pPr>
          </w:p>
        </w:tc>
        <w:tc>
          <w:tcPr>
            <w:tcW w:w="48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□制定水资源综合利用方案，统筹利用各种水资源。</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□项目的最高日、平均日用水量以及年用水量符合现行国家规范和标准要求。</w:t>
            </w:r>
            <w:r>
              <w:rPr>
                <w:rFonts w:ascii="宋体" w:hAnsi="宋体" w:eastAsia="宋体" w:cs="宋体"/>
                <w:kern w:val="0"/>
                <w:sz w:val="20"/>
                <w:szCs w:val="20"/>
              </w:rPr>
              <w:t xml:space="preserve">                                                                                                     </w:t>
            </w:r>
            <w:r>
              <w:rPr>
                <w:rFonts w:hint="eastAsia" w:ascii="宋体" w:hAnsi="宋体" w:eastAsia="宋体" w:cs="宋体"/>
                <w:kern w:val="0"/>
                <w:sz w:val="20"/>
                <w:szCs w:val="20"/>
              </w:rPr>
              <w:t>□充分利用市政供水压力，加压供水系统卫生安全、经济节能，合理配置给水设施，水泵选用符合节能设备的要求，水泵运行工作点在其高效区内。区域水泵房服务范围供水半径不大于</w:t>
            </w:r>
            <w:r>
              <w:rPr>
                <w:rFonts w:ascii="宋体" w:hAnsi="宋体" w:eastAsia="宋体" w:cs="宋体"/>
                <w:kern w:val="0"/>
                <w:sz w:val="20"/>
                <w:szCs w:val="20"/>
              </w:rPr>
              <w:t xml:space="preserve">500米。                                                                                                         </w:t>
            </w:r>
            <w:r>
              <w:rPr>
                <w:rFonts w:hint="eastAsia" w:ascii="宋体" w:hAnsi="宋体" w:eastAsia="宋体" w:cs="宋体"/>
                <w:kern w:val="0"/>
                <w:sz w:val="20"/>
                <w:szCs w:val="20"/>
              </w:rPr>
              <w:t>□多层、高层建筑的给水、中水系统竖向分区合理，每区供水静压力不大于规范限值；</w:t>
            </w:r>
            <w:r>
              <w:rPr>
                <w:rFonts w:ascii="宋体" w:hAnsi="宋体" w:eastAsia="宋体" w:cs="宋体"/>
                <w:kern w:val="0"/>
                <w:sz w:val="20"/>
                <w:szCs w:val="20"/>
              </w:rPr>
              <w:t xml:space="preserve">                                                                                                                                                                              </w:t>
            </w:r>
            <w:r>
              <w:rPr>
                <w:rFonts w:hint="eastAsia" w:ascii="宋体" w:hAnsi="宋体" w:eastAsia="宋体" w:cs="宋体"/>
                <w:kern w:val="0"/>
                <w:sz w:val="20"/>
                <w:szCs w:val="20"/>
              </w:rPr>
              <w:t>□生活给水系统用水点处供水压力不大于</w:t>
            </w:r>
            <w:r>
              <w:rPr>
                <w:rFonts w:ascii="宋体" w:hAnsi="宋体" w:eastAsia="宋体" w:cs="宋体"/>
                <w:kern w:val="0"/>
                <w:sz w:val="20"/>
                <w:szCs w:val="20"/>
              </w:rPr>
              <w:t>0.2MPa，且不应小于用水器具要求的最低压力；</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□采用符合国家现行有关标准要求的成品水箱，采取保证储水不变质的措施，制定水池、水箱等储水设施定期清洗消毒计划，且生活饮用水储水设施每半年清洗消毒不应少于</w:t>
            </w:r>
            <w:r>
              <w:rPr>
                <w:rFonts w:ascii="宋体" w:hAnsi="宋体" w:eastAsia="宋体" w:cs="宋体"/>
                <w:kern w:val="0"/>
                <w:sz w:val="20"/>
                <w:szCs w:val="20"/>
              </w:rPr>
              <w:t xml:space="preserve">1次。                                                                                                                                                                                                                                                                                            </w:t>
            </w:r>
            <w:r>
              <w:rPr>
                <w:rFonts w:hint="eastAsia" w:ascii="宋体" w:hAnsi="宋体" w:eastAsia="宋体" w:cs="宋体"/>
                <w:kern w:val="0"/>
                <w:sz w:val="20"/>
                <w:szCs w:val="20"/>
              </w:rPr>
              <w:t>□绿化灌溉采用喷灌、微灌、渗灌等高效节水灌溉方式，采用微灌方式时，在供水管路的入口处设过滤装置；</w:t>
            </w:r>
            <w:r>
              <w:rPr>
                <w:rFonts w:ascii="宋体" w:hAnsi="宋体" w:eastAsia="宋体" w:cs="宋体"/>
                <w:kern w:val="0"/>
                <w:sz w:val="20"/>
                <w:szCs w:val="20"/>
              </w:rPr>
              <w:t xml:space="preserve">                                                                                                                               </w:t>
            </w:r>
            <w:r>
              <w:rPr>
                <w:rFonts w:hint="eastAsia" w:ascii="宋体" w:hAnsi="宋体" w:eastAsia="宋体" w:cs="宋体"/>
                <w:kern w:val="0"/>
                <w:sz w:val="20"/>
                <w:szCs w:val="20"/>
              </w:rPr>
              <w:t>□车库和道路冲洗采用节水高压水枪；</w:t>
            </w:r>
            <w:r>
              <w:rPr>
                <w:rFonts w:ascii="宋体" w:hAnsi="宋体" w:eastAsia="宋体" w:cs="宋体"/>
                <w:kern w:val="0"/>
                <w:sz w:val="20"/>
                <w:szCs w:val="20"/>
              </w:rPr>
              <w:t xml:space="preserve">                                                                                                                                                                                                                                                                                                                                                                                         </w:t>
            </w:r>
            <w:r>
              <w:rPr>
                <w:rFonts w:hint="eastAsia" w:ascii="宋体" w:hAnsi="宋体" w:eastAsia="宋体" w:cs="宋体"/>
                <w:kern w:val="0"/>
                <w:sz w:val="20"/>
                <w:szCs w:val="20"/>
              </w:rPr>
              <w:t>□按照使用用途、管理单元、付费单元和根据水量平衡测试及管网漏损检测等要求设置计量水表；</w:t>
            </w:r>
          </w:p>
          <w:p>
            <w:pPr>
              <w:jc w:val="left"/>
              <w:rPr>
                <w:rFonts w:ascii="宋体" w:hAnsi="宋体" w:eastAsia="宋体" w:cs="宋体"/>
                <w:kern w:val="0"/>
                <w:sz w:val="20"/>
                <w:szCs w:val="20"/>
              </w:rPr>
            </w:pPr>
            <w:r>
              <w:rPr>
                <w:rFonts w:hint="eastAsia" w:ascii="宋体" w:hAnsi="宋体" w:eastAsia="宋体" w:cs="宋体"/>
                <w:kern w:val="0"/>
                <w:sz w:val="20"/>
                <w:szCs w:val="20"/>
              </w:rPr>
              <w:t>□建筑中各供水系统均应设置用水远传计量系统及水质在线监测系统。二次供水、消防供水等应设置智慧互联及远程监测、监控等功能。</w:t>
            </w:r>
            <w:r>
              <w:rPr>
                <w:rFonts w:ascii="宋体" w:hAnsi="宋体" w:eastAsia="宋体" w:cs="宋体"/>
                <w:kern w:val="0"/>
                <w:sz w:val="20"/>
                <w:szCs w:val="20"/>
              </w:rPr>
              <w:t xml:space="preserve">                                                                                                                                                                                                                                                                                                                                                              □游泳池、洗车场、集中空调用冷却水等用水循环处理使用；                                                                                                                                                                                                               </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□循环冷却水系统采取设置水处理措施、加大集水盘、设置平衡管或平衡水箱等方式，避免冷却水泵停泵时冷却水溢出。</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097"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项目用水定额</w:t>
            </w:r>
          </w:p>
        </w:tc>
        <w:tc>
          <w:tcPr>
            <w:tcW w:w="4536" w:type="dxa"/>
            <w:vMerge w:val="continue"/>
            <w:shd w:val="clear" w:color="auto" w:fill="auto"/>
            <w:vAlign w:val="center"/>
          </w:tcPr>
          <w:p>
            <w:pPr>
              <w:widowControl/>
              <w:jc w:val="left"/>
              <w:rPr>
                <w:rFonts w:ascii="宋体" w:hAnsi="宋体" w:eastAsia="宋体" w:cs="宋体"/>
                <w:kern w:val="0"/>
                <w:sz w:val="20"/>
                <w:szCs w:val="20"/>
              </w:rPr>
            </w:pPr>
          </w:p>
        </w:tc>
        <w:tc>
          <w:tcPr>
            <w:tcW w:w="4820" w:type="dxa"/>
            <w:vMerge w:val="continue"/>
            <w:shd w:val="clear" w:color="auto" w:fill="auto"/>
            <w:vAlign w:val="center"/>
          </w:tcPr>
          <w:p>
            <w:pPr>
              <w:widowControl/>
              <w:jc w:val="left"/>
              <w:rPr>
                <w:rFonts w:ascii="宋体" w:hAnsi="宋体" w:eastAsia="宋体" w:cs="宋体"/>
                <w:kern w:val="0"/>
                <w:sz w:val="20"/>
                <w:szCs w:val="20"/>
              </w:rPr>
            </w:pPr>
          </w:p>
        </w:tc>
        <w:tc>
          <w:tcPr>
            <w:tcW w:w="4819" w:type="dxa"/>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给水系统的选择和给水方式，分质、分压、分区供水要求和采取的措施；</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由市政或小区管网供水时，应说明供水干管的方位、接管管径、到达本地块市政水压等内容</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水箱和水池设置位置、材质；</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防水质污染等措施；</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给水计量系统：给水计量设置方式，设置位置等内容完整；</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水循环利用</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排水系统</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排水系统的选择</w:t>
            </w:r>
          </w:p>
        </w:tc>
        <w:tc>
          <w:tcPr>
            <w:tcW w:w="14175" w:type="dxa"/>
            <w:gridSpan w:val="3"/>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□排水系统符合国家、地方现行规范、标准的要求，设置完善的污水收集、处理和排放设施；给水排水管材及卫生器具选用是否满足要求</w:t>
            </w:r>
          </w:p>
        </w:tc>
        <w:tc>
          <w:tcPr>
            <w:tcW w:w="1220" w:type="dxa"/>
            <w:vMerge w:val="restart"/>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生活和生产污（废）水排水量</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室外排放条件</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室外给水、污（废）水</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局部污水处理设施</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22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097"/>
        <w:gridCol w:w="4536"/>
        <w:gridCol w:w="4962"/>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317"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962"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54"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给排水</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热水系统</w:t>
            </w:r>
          </w:p>
        </w:tc>
        <w:tc>
          <w:tcPr>
            <w:tcW w:w="3097"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项目热水用水定额</w:t>
            </w:r>
          </w:p>
        </w:tc>
        <w:tc>
          <w:tcPr>
            <w:tcW w:w="14317"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□热水最高日、平均日用水定额、水温按现行国家标准《建筑给水排水设计标准》</w:t>
            </w:r>
            <w:r>
              <w:rPr>
                <w:rFonts w:ascii="宋体" w:hAnsi="宋体" w:eastAsia="宋体" w:cs="宋体"/>
                <w:kern w:val="0"/>
                <w:sz w:val="20"/>
                <w:szCs w:val="20"/>
              </w:rPr>
              <w:t>GB 50015</w:t>
            </w:r>
            <w:r>
              <w:rPr>
                <w:rFonts w:hint="eastAsia" w:ascii="宋体" w:hAnsi="宋体" w:eastAsia="宋体" w:cs="宋体"/>
                <w:kern w:val="0"/>
                <w:sz w:val="20"/>
                <w:szCs w:val="20"/>
              </w:rPr>
              <w:t>确定；</w:t>
            </w:r>
            <w:r>
              <w:rPr>
                <w:rFonts w:ascii="宋体" w:hAnsi="宋体" w:eastAsia="宋体" w:cs="宋体"/>
                <w:kern w:val="0"/>
                <w:sz w:val="20"/>
                <w:szCs w:val="20"/>
              </w:rPr>
              <w:t xml:space="preserve">                                                                                                                                                   </w:t>
            </w:r>
            <w:r>
              <w:rPr>
                <w:rFonts w:hint="eastAsia" w:ascii="宋体" w:hAnsi="宋体" w:eastAsia="宋体" w:cs="宋体"/>
                <w:kern w:val="0"/>
                <w:sz w:val="20"/>
                <w:szCs w:val="20"/>
              </w:rPr>
              <w:t>□热水用水量较小且用水点分散时，采用局部热水供应系统；热水用水量较大、用水点比较集中时，采用集中热水供应系统，并设置完善的热水循环系统；热水配水点保证出水温度不低于</w:t>
            </w:r>
            <w:r>
              <w:rPr>
                <w:rFonts w:ascii="宋体" w:hAnsi="宋体" w:eastAsia="宋体" w:cs="宋体"/>
                <w:kern w:val="0"/>
                <w:sz w:val="20"/>
                <w:szCs w:val="20"/>
              </w:rPr>
              <w:t xml:space="preserve"> 46°C </w:t>
            </w:r>
            <w:r>
              <w:rPr>
                <w:rFonts w:hint="eastAsia" w:ascii="宋体" w:hAnsi="宋体" w:eastAsia="宋体" w:cs="宋体"/>
                <w:kern w:val="0"/>
                <w:sz w:val="20"/>
                <w:szCs w:val="20"/>
              </w:rPr>
              <w:t>的时间，居住建筑不应大于</w:t>
            </w:r>
            <w:r>
              <w:rPr>
                <w:rFonts w:ascii="宋体" w:hAnsi="宋体" w:eastAsia="宋体" w:cs="宋体"/>
                <w:kern w:val="0"/>
                <w:sz w:val="20"/>
                <w:szCs w:val="20"/>
              </w:rPr>
              <w:t xml:space="preserve"> 15s </w:t>
            </w:r>
            <w:r>
              <w:rPr>
                <w:rFonts w:hint="eastAsia" w:ascii="宋体" w:hAnsi="宋体" w:eastAsia="宋体" w:cs="宋体"/>
                <w:kern w:val="0"/>
                <w:sz w:val="20"/>
                <w:szCs w:val="20"/>
              </w:rPr>
              <w:t>，公共建筑不应大于</w:t>
            </w:r>
            <w:r>
              <w:rPr>
                <w:rFonts w:ascii="宋体" w:hAnsi="宋体" w:eastAsia="宋体" w:cs="宋体"/>
                <w:kern w:val="0"/>
                <w:sz w:val="20"/>
                <w:szCs w:val="20"/>
              </w:rPr>
              <w:t xml:space="preserve">lO s；居住建筑生活热水系统热水表后或户内热水器不循环的热水供水支管长度不宜超过 8m；医院、疗养所等建筑的水加热设备出水温度低于 60 </w:t>
            </w:r>
            <w:r>
              <w:rPr>
                <w:rFonts w:hint="eastAsia" w:ascii="宋体" w:hAnsi="宋体" w:eastAsia="宋体" w:cs="宋体"/>
                <w:kern w:val="0"/>
                <w:sz w:val="20"/>
                <w:szCs w:val="20"/>
              </w:rPr>
              <w:t>或其他建筑水加热设备出水温度低于</w:t>
            </w:r>
            <w:r>
              <w:rPr>
                <w:rFonts w:ascii="宋体" w:hAnsi="宋体" w:eastAsia="宋体" w:cs="宋体"/>
                <w:kern w:val="0"/>
                <w:sz w:val="20"/>
                <w:szCs w:val="20"/>
              </w:rPr>
              <w:t xml:space="preserve"> 55 </w:t>
            </w:r>
            <w:r>
              <w:rPr>
                <w:rFonts w:hint="eastAsia" w:ascii="宋体" w:hAnsi="宋体" w:eastAsia="宋体" w:cs="宋体"/>
                <w:kern w:val="0"/>
                <w:sz w:val="20"/>
                <w:szCs w:val="20"/>
              </w:rPr>
              <w:t>时，应设灭菌消毒设施；</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□优先采用余热、废热或可再生能源作为热源的热水系统，并合理配置辅助热源。</w:t>
            </w:r>
            <w:r>
              <w:rPr>
                <w:rFonts w:ascii="宋体" w:hAnsi="宋体" w:eastAsia="宋体" w:cs="宋体"/>
                <w:kern w:val="0"/>
                <w:sz w:val="20"/>
                <w:szCs w:val="20"/>
              </w:rPr>
              <w:t xml:space="preserve">                                                                                    </w:t>
            </w:r>
            <w:r>
              <w:rPr>
                <w:rFonts w:hint="eastAsia" w:ascii="宋体" w:hAnsi="宋体" w:eastAsia="宋体" w:cs="宋体"/>
                <w:kern w:val="0"/>
                <w:sz w:val="20"/>
                <w:szCs w:val="20"/>
              </w:rPr>
              <w:t>□集中热水供应系统有保证用水点处冷、热水供水压力平衡的措施，最不利用水点处冷、热水供水压力差不宜大于</w:t>
            </w:r>
            <w:r>
              <w:rPr>
                <w:rFonts w:ascii="宋体" w:hAnsi="宋体" w:eastAsia="宋体" w:cs="宋体"/>
                <w:kern w:val="0"/>
                <w:sz w:val="20"/>
                <w:szCs w:val="20"/>
              </w:rPr>
              <w:t xml:space="preserve">0.02MPa；                                                                                                                   </w:t>
            </w:r>
            <w:r>
              <w:rPr>
                <w:rFonts w:hint="eastAsia" w:ascii="宋体" w:hAnsi="宋体" w:eastAsia="宋体" w:cs="宋体"/>
                <w:kern w:val="0"/>
                <w:sz w:val="20"/>
                <w:szCs w:val="20"/>
              </w:rPr>
              <w:t>□热水设备、热水系统供水及回水管道有完善的保温隔热技术措施，并优先选用保温效果好的节能环保材料；</w:t>
            </w:r>
            <w:r>
              <w:rPr>
                <w:rFonts w:ascii="宋体" w:hAnsi="宋体" w:eastAsia="宋体" w:cs="宋体"/>
                <w:kern w:val="0"/>
                <w:sz w:val="20"/>
                <w:szCs w:val="20"/>
              </w:rPr>
              <w:t xml:space="preserve">                                                                                                                                </w:t>
            </w:r>
            <w:r>
              <w:rPr>
                <w:rFonts w:hint="eastAsia" w:ascii="宋体" w:hAnsi="宋体" w:eastAsia="宋体" w:cs="宋体"/>
                <w:kern w:val="0"/>
                <w:sz w:val="20"/>
                <w:szCs w:val="20"/>
              </w:rPr>
              <w:t>□水加热设备选用与热水系统相适宜的容积利用率高、换热效率高、被加热水侧阻力损失小的节能产品。</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热水系统使用水温</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热水系统及热源</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热水系统保温、防腐及防军团菌技术措施</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给排水设备管道与用水器具</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管材、接口及敷设方式明确</w:t>
            </w:r>
          </w:p>
        </w:tc>
        <w:tc>
          <w:tcPr>
            <w:tcW w:w="14317" w:type="dxa"/>
            <w:gridSpan w:val="3"/>
            <w:shd w:val="clear" w:color="auto" w:fill="auto"/>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□给水系统中使用的管材、管件符合现行国家标准的要求，采用耐腐蚀、</w:t>
            </w:r>
            <w:r>
              <w:rPr>
                <w:rFonts w:ascii="宋体" w:hAnsi="宋体" w:eastAsia="宋体" w:cs="宋体"/>
                <w:kern w:val="0"/>
                <w:sz w:val="20"/>
                <w:szCs w:val="20"/>
              </w:rPr>
              <w:t xml:space="preserve"> </w:t>
            </w:r>
            <w:r>
              <w:rPr>
                <w:rFonts w:hint="eastAsia" w:ascii="宋体" w:hAnsi="宋体" w:eastAsia="宋体" w:cs="宋体"/>
                <w:kern w:val="0"/>
                <w:sz w:val="20"/>
                <w:szCs w:val="20"/>
              </w:rPr>
              <w:t>抗老化、耐久性好的管材、管件和密闭性能好的高性能的阀门，管材、管件、阀门的公称压力不小与相应系统工作压力。</w:t>
            </w:r>
          </w:p>
          <w:p>
            <w:pPr>
              <w:jc w:val="left"/>
              <w:rPr>
                <w:rFonts w:ascii="宋体" w:hAnsi="宋体" w:eastAsia="宋体" w:cs="宋体"/>
                <w:kern w:val="0"/>
                <w:sz w:val="20"/>
                <w:szCs w:val="20"/>
              </w:rPr>
            </w:pPr>
            <w:r>
              <w:rPr>
                <w:rFonts w:hint="eastAsia" w:ascii="宋体" w:hAnsi="宋体" w:eastAsia="宋体" w:cs="宋体"/>
                <w:kern w:val="0"/>
                <w:sz w:val="20"/>
                <w:szCs w:val="20"/>
              </w:rPr>
              <w:t>□给水排水管道、设备、设施应设置明确、清晰的永久性标识。</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节水器具选择</w:t>
            </w:r>
            <w:r>
              <w:rPr>
                <w:rFonts w:ascii="宋体" w:hAnsi="宋体" w:eastAsia="宋体" w:cs="宋体"/>
                <w:kern w:val="0"/>
                <w:sz w:val="20"/>
                <w:szCs w:val="20"/>
              </w:rPr>
              <w:t xml:space="preserve"> </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□用水器具和设备满足节水节能型产品的要求；</w:t>
            </w:r>
            <w:r>
              <w:rPr>
                <w:rFonts w:ascii="宋体" w:hAnsi="宋体" w:eastAsia="宋体" w:cs="宋体"/>
                <w:kern w:val="0"/>
                <w:sz w:val="20"/>
                <w:szCs w:val="20"/>
              </w:rPr>
              <w:cr/>
            </w:r>
            <w:r>
              <w:rPr>
                <w:rFonts w:hint="eastAsia" w:ascii="宋体" w:hAnsi="宋体" w:eastAsia="宋体" w:cs="宋体"/>
                <w:kern w:val="0"/>
                <w:sz w:val="20"/>
                <w:szCs w:val="20"/>
              </w:rPr>
              <w:t>□使用构造内自带水封的便器，且其水封深度不应小于</w:t>
            </w:r>
            <w:r>
              <w:rPr>
                <w:rFonts w:ascii="宋体" w:hAnsi="宋体" w:eastAsia="宋体" w:cs="宋体"/>
                <w:kern w:val="0"/>
                <w:sz w:val="20"/>
                <w:szCs w:val="20"/>
              </w:rPr>
              <w:t>50mm；</w:t>
            </w:r>
          </w:p>
          <w:p>
            <w:pPr>
              <w:jc w:val="left"/>
              <w:rPr>
                <w:rFonts w:ascii="宋体" w:hAnsi="宋体" w:eastAsia="宋体" w:cs="宋体"/>
                <w:kern w:val="0"/>
                <w:sz w:val="20"/>
                <w:szCs w:val="20"/>
              </w:rPr>
            </w:pPr>
            <w:r>
              <w:rPr>
                <w:rFonts w:hint="eastAsia" w:ascii="宋体" w:hAnsi="宋体" w:eastAsia="宋体" w:cs="宋体"/>
                <w:kern w:val="0"/>
                <w:sz w:val="20"/>
                <w:szCs w:val="20"/>
              </w:rPr>
              <w:t>□全部卫生器具的用水效率等级不应低于</w:t>
            </w:r>
            <w:r>
              <w:rPr>
                <w:rFonts w:ascii="宋体" w:hAnsi="宋体" w:eastAsia="宋体" w:cs="宋体"/>
                <w:kern w:val="0"/>
                <w:sz w:val="20"/>
                <w:szCs w:val="20"/>
              </w:rPr>
              <w:t>3级。</w:t>
            </w:r>
          </w:p>
        </w:tc>
        <w:tc>
          <w:tcPr>
            <w:tcW w:w="496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□用水器具和设备满足节水节能型产品的要求；</w:t>
            </w:r>
            <w:r>
              <w:rPr>
                <w:rFonts w:ascii="宋体" w:hAnsi="宋体" w:eastAsia="宋体" w:cs="宋体"/>
                <w:kern w:val="0"/>
                <w:sz w:val="20"/>
                <w:szCs w:val="20"/>
              </w:rPr>
              <w:cr/>
            </w:r>
            <w:r>
              <w:rPr>
                <w:rFonts w:hint="eastAsia" w:ascii="宋体" w:hAnsi="宋体" w:eastAsia="宋体" w:cs="宋体"/>
                <w:kern w:val="0"/>
                <w:sz w:val="20"/>
                <w:szCs w:val="20"/>
              </w:rPr>
              <w:t>□使用构造内自带水封的便器，且其水封深度不应小于</w:t>
            </w:r>
            <w:r>
              <w:rPr>
                <w:rFonts w:ascii="宋体" w:hAnsi="宋体" w:eastAsia="宋体" w:cs="宋体"/>
                <w:kern w:val="0"/>
                <w:sz w:val="20"/>
                <w:szCs w:val="20"/>
              </w:rPr>
              <w:t>50mm；</w:t>
            </w:r>
          </w:p>
          <w:p>
            <w:pPr>
              <w:jc w:val="left"/>
              <w:rPr>
                <w:rFonts w:ascii="宋体" w:hAnsi="宋体" w:eastAsia="宋体" w:cs="宋体"/>
                <w:kern w:val="0"/>
                <w:sz w:val="20"/>
                <w:szCs w:val="20"/>
              </w:rPr>
            </w:pPr>
            <w:r>
              <w:rPr>
                <w:rFonts w:hint="eastAsia" w:ascii="宋体" w:hAnsi="宋体" w:eastAsia="宋体" w:cs="宋体"/>
                <w:kern w:val="0"/>
                <w:sz w:val="20"/>
                <w:szCs w:val="20"/>
              </w:rPr>
              <w:t>□全部卫生器具的用水效率等级不应低于</w:t>
            </w:r>
            <w:r>
              <w:rPr>
                <w:rFonts w:ascii="宋体" w:hAnsi="宋体" w:eastAsia="宋体" w:cs="宋体"/>
                <w:kern w:val="0"/>
                <w:sz w:val="20"/>
                <w:szCs w:val="20"/>
              </w:rPr>
              <w:t>2级。</w:t>
            </w:r>
          </w:p>
        </w:tc>
        <w:tc>
          <w:tcPr>
            <w:tcW w:w="48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□用水器具和设备满足节水节能型产品的要求；</w:t>
            </w:r>
          </w:p>
          <w:p>
            <w:pPr>
              <w:jc w:val="left"/>
              <w:rPr>
                <w:rFonts w:ascii="宋体" w:hAnsi="宋体" w:eastAsia="宋体" w:cs="宋体"/>
                <w:kern w:val="0"/>
                <w:sz w:val="20"/>
                <w:szCs w:val="20"/>
              </w:rPr>
            </w:pPr>
            <w:r>
              <w:rPr>
                <w:rFonts w:hint="eastAsia" w:ascii="宋体" w:hAnsi="宋体" w:eastAsia="宋体" w:cs="宋体"/>
                <w:kern w:val="0"/>
                <w:sz w:val="20"/>
                <w:szCs w:val="20"/>
              </w:rPr>
              <w:t>□使用构造内自带水封的便器，且其水封深度不应小于</w:t>
            </w:r>
            <w:r>
              <w:rPr>
                <w:rFonts w:ascii="宋体" w:hAnsi="宋体" w:eastAsia="宋体" w:cs="宋体"/>
                <w:kern w:val="0"/>
                <w:sz w:val="20"/>
                <w:szCs w:val="20"/>
              </w:rPr>
              <w:t>50mm；</w:t>
            </w:r>
            <w:r>
              <w:rPr>
                <w:rFonts w:ascii="宋体" w:hAnsi="宋体" w:eastAsia="宋体" w:cs="宋体"/>
                <w:kern w:val="0"/>
                <w:sz w:val="20"/>
                <w:szCs w:val="20"/>
              </w:rPr>
              <w:cr/>
            </w:r>
          </w:p>
          <w:p>
            <w:pPr>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50% 以上卫生器具的用水效率等级应达到1级，且其余卫生器具的用水效率等级应不低于2级。</w:t>
            </w: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4016"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非传统水源利用</w:t>
            </w:r>
          </w:p>
        </w:tc>
        <w:tc>
          <w:tcPr>
            <w:tcW w:w="4536" w:type="dxa"/>
            <w:shd w:val="clear" w:color="auto" w:fill="auto"/>
          </w:tcPr>
          <w:p>
            <w:pPr>
              <w:widowControl/>
              <w:spacing w:after="240"/>
              <w:jc w:val="left"/>
              <w:rPr>
                <w:rFonts w:ascii="宋体" w:hAnsi="宋体" w:eastAsia="宋体" w:cs="宋体"/>
                <w:kern w:val="0"/>
                <w:sz w:val="20"/>
                <w:szCs w:val="20"/>
              </w:rPr>
            </w:pPr>
            <w:r>
              <w:rPr>
                <w:rFonts w:hint="eastAsia" w:ascii="宋体" w:hAnsi="宋体" w:eastAsia="宋体" w:cs="宋体"/>
                <w:kern w:val="0"/>
                <w:sz w:val="20"/>
                <w:szCs w:val="20"/>
                <w:lang w:bidi="ar"/>
              </w:rPr>
              <w:t>□建设用地面积二万平方米以上的新建民用建筑，应当按照国家和省有关标准同步建设雨水收集利用系统。</w:t>
            </w:r>
          </w:p>
          <w:p>
            <w:pPr>
              <w:widowControl/>
              <w:spacing w:after="240"/>
              <w:jc w:val="left"/>
              <w:rPr>
                <w:rFonts w:ascii="宋体" w:hAnsi="宋体" w:eastAsia="宋体" w:cs="宋体"/>
                <w:kern w:val="0"/>
                <w:sz w:val="20"/>
                <w:szCs w:val="20"/>
              </w:rPr>
            </w:pPr>
            <w:r>
              <w:rPr>
                <w:rFonts w:hint="eastAsia" w:ascii="宋体" w:hAnsi="宋体" w:eastAsia="宋体" w:cs="宋体"/>
                <w:kern w:val="0"/>
                <w:sz w:val="20"/>
                <w:szCs w:val="20"/>
              </w:rPr>
              <w:t>□采用非传统水源时，供水系统采取防止误接、误用、误饮等安全措施。</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lang w:bidi="ar"/>
              </w:rPr>
              <w:t>采用再生水的绿化供水管网不得使用易于产生水雾的喷头。</w:t>
            </w:r>
          </w:p>
        </w:tc>
        <w:tc>
          <w:tcPr>
            <w:tcW w:w="4962" w:type="dxa"/>
            <w:shd w:val="clear" w:color="auto" w:fill="auto"/>
          </w:tcPr>
          <w:p>
            <w:pPr>
              <w:widowControl/>
              <w:spacing w:after="240"/>
              <w:jc w:val="left"/>
              <w:rPr>
                <w:rFonts w:ascii="宋体" w:hAnsi="宋体" w:eastAsia="宋体" w:cs="宋体"/>
                <w:kern w:val="0"/>
                <w:sz w:val="20"/>
                <w:szCs w:val="20"/>
              </w:rPr>
            </w:pPr>
            <w:r>
              <w:rPr>
                <w:rFonts w:hint="eastAsia" w:ascii="宋体" w:hAnsi="宋体" w:eastAsia="宋体" w:cs="宋体"/>
                <w:kern w:val="0"/>
                <w:sz w:val="20"/>
                <w:szCs w:val="20"/>
                <w:lang w:bidi="ar"/>
              </w:rPr>
              <w:t>□建设用地面积二万平方米以上的新建民用建筑，应当按照国家和省有关标准同步建设雨水收集利用系统。</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□采用非传统水源时，供水系统采取防止误接、误用、误饮等安全措施。</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□采用再生水的绿化供水管网不得使用易于产生水雾的喷头。</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w:t>
            </w:r>
            <w:r>
              <w:rPr>
                <w:rFonts w:ascii="宋体" w:hAnsi="宋体" w:eastAsia="宋体" w:cs="宋体"/>
                <w:kern w:val="0"/>
                <w:sz w:val="20"/>
                <w:szCs w:val="20"/>
                <w:lang w:bidi="ar"/>
              </w:rPr>
              <w:t>1、绿化灌溉、车库及道路冲洗、洗车用水采用非传统水源的用水量占其总用水量的比例不低于40%；2、当设有市政中水管网时,冲厕采用非传统水源的用水量占其总用水量的比例不低于30%；3、当设有市政中水管网时,冷却水补水采用非传统水源的用水量占其总用水量的比例不低于20%。</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w:t>
            </w:r>
            <w:r>
              <w:rPr>
                <w:rFonts w:ascii="宋体" w:hAnsi="宋体" w:eastAsia="宋体" w:cs="宋体"/>
                <w:kern w:val="0"/>
                <w:sz w:val="20"/>
                <w:szCs w:val="20"/>
                <w:lang w:bidi="ar"/>
              </w:rPr>
              <w:t>在储存、输配等过程中要有足够的消毒杀菌能力，且水质不被污染</w:t>
            </w:r>
            <w:r>
              <w:rPr>
                <w:rFonts w:hint="eastAsia" w:ascii="宋体" w:hAnsi="宋体" w:eastAsia="宋体" w:cs="宋体"/>
                <w:kern w:val="0"/>
                <w:sz w:val="20"/>
                <w:szCs w:val="20"/>
                <w:lang w:bidi="ar"/>
              </w:rPr>
              <w:t>。</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w:t>
            </w:r>
            <w:r>
              <w:rPr>
                <w:rFonts w:ascii="宋体" w:hAnsi="宋体" w:eastAsia="宋体" w:cs="宋体"/>
                <w:kern w:val="0"/>
                <w:sz w:val="20"/>
                <w:szCs w:val="20"/>
                <w:lang w:bidi="ar"/>
              </w:rPr>
              <w:t>供水系统应设有备用水源、溢流装置及相关切换设施等</w:t>
            </w:r>
            <w:r>
              <w:rPr>
                <w:rFonts w:hint="eastAsia" w:ascii="宋体" w:hAnsi="宋体" w:eastAsia="宋体" w:cs="宋体"/>
                <w:kern w:val="0"/>
                <w:sz w:val="20"/>
                <w:szCs w:val="20"/>
                <w:lang w:bidi="ar"/>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lang w:bidi="ar"/>
              </w:rPr>
              <w:t>□在处理、储存、输配等环节中应采取安全防护和监测、检测控制措施。</w:t>
            </w:r>
          </w:p>
        </w:tc>
        <w:tc>
          <w:tcPr>
            <w:tcW w:w="4819" w:type="dxa"/>
            <w:shd w:val="clear" w:color="auto" w:fill="auto"/>
          </w:tcPr>
          <w:p>
            <w:pPr>
              <w:widowControl/>
              <w:spacing w:after="240"/>
              <w:jc w:val="left"/>
              <w:rPr>
                <w:rFonts w:ascii="宋体" w:hAnsi="宋体" w:eastAsia="宋体" w:cs="宋体"/>
                <w:kern w:val="0"/>
                <w:sz w:val="20"/>
                <w:szCs w:val="20"/>
              </w:rPr>
            </w:pPr>
            <w:r>
              <w:rPr>
                <w:rFonts w:hint="eastAsia" w:ascii="宋体" w:hAnsi="宋体" w:eastAsia="宋体" w:cs="宋体"/>
                <w:kern w:val="0"/>
                <w:sz w:val="20"/>
                <w:szCs w:val="20"/>
                <w:lang w:bidi="ar"/>
              </w:rPr>
              <w:t>□建设用地面积二万平方米以上的新建民用建筑，应当按照国家和省有关标准同步建设雨水收集利用系统。</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□采用非传统水源时，供水系统采取防止误接、误用、误饮等安全措施。</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□采用再生水的绿化供水管网不得使用易于产生水雾的喷头。</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w:t>
            </w:r>
            <w:r>
              <w:rPr>
                <w:rFonts w:ascii="宋体" w:hAnsi="宋体" w:eastAsia="宋体" w:cs="宋体"/>
                <w:kern w:val="0"/>
                <w:sz w:val="20"/>
                <w:szCs w:val="20"/>
                <w:lang w:bidi="ar"/>
              </w:rPr>
              <w:t>1、绿化灌溉、车库及道路冲洗、洗车用水采用非传统水源的用水量占其总用水量的比例不低于60%；2、当设有市政中水管网时,冲厕采用非传统水源的用水量占其总用水量的比例不低于50%；3、当设有市政中水管网时,冷却水补水采用非传统水源的用水量占其总用水量的比例不低于40%。</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□在储存、输配等过程中要有足够的消毒杀菌能力，且水质不被污染。</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□供水系统应设有备用水源、溢流装置及相关切换设施等。</w:t>
            </w:r>
          </w:p>
          <w:p>
            <w:pPr>
              <w:widowControl/>
              <w:jc w:val="left"/>
              <w:rPr>
                <w:rFonts w:ascii="宋体" w:hAnsi="宋体" w:eastAsia="宋体" w:cs="宋体"/>
                <w:kern w:val="0"/>
                <w:sz w:val="20"/>
                <w:szCs w:val="20"/>
              </w:rPr>
            </w:pPr>
            <w:r>
              <w:rPr>
                <w:rFonts w:hint="eastAsia" w:ascii="宋体" w:hAnsi="宋体" w:eastAsia="宋体" w:cs="宋体"/>
                <w:kern w:val="0"/>
                <w:sz w:val="20"/>
                <w:szCs w:val="20"/>
                <w:lang w:bidi="ar"/>
              </w:rPr>
              <w:t>□</w:t>
            </w:r>
            <w:r>
              <w:rPr>
                <w:rFonts w:ascii="宋体" w:hAnsi="宋体" w:eastAsia="宋体" w:cs="宋体"/>
                <w:kern w:val="0"/>
                <w:sz w:val="20"/>
                <w:szCs w:val="20"/>
                <w:lang w:bidi="ar"/>
              </w:rPr>
              <w:t>在处理、储存、输配等环节中应采取安全防护和监测、检测控制措施</w:t>
            </w:r>
            <w:r>
              <w:rPr>
                <w:rFonts w:hint="eastAsia" w:ascii="宋体" w:hAnsi="宋体" w:eastAsia="宋体" w:cs="宋体"/>
                <w:kern w:val="0"/>
                <w:sz w:val="20"/>
                <w:szCs w:val="20"/>
                <w:lang w:bidi="ar"/>
              </w:rPr>
              <w:t>。</w:t>
            </w:r>
          </w:p>
        </w:tc>
        <w:tc>
          <w:tcPr>
            <w:tcW w:w="1220" w:type="dxa"/>
            <w:shd w:val="clear" w:color="auto" w:fill="auto"/>
            <w:vAlign w:val="center"/>
          </w:tcPr>
          <w:p>
            <w:pPr>
              <w:jc w:val="left"/>
              <w:rPr>
                <w:rFonts w:ascii="宋体" w:hAnsi="宋体" w:eastAsia="宋体" w:cs="宋体"/>
                <w:b/>
                <w:bCs/>
                <w:kern w:val="0"/>
                <w:sz w:val="20"/>
                <w:szCs w:val="20"/>
              </w:rPr>
            </w:pPr>
          </w:p>
        </w:tc>
      </w:tr>
    </w:tbl>
    <w:p>
      <w:pPr>
        <w:rPr>
          <w:sz w:val="13"/>
          <w:szCs w:val="13"/>
        </w:rPr>
      </w:pPr>
    </w:p>
    <w:tbl>
      <w:tblPr>
        <w:tblStyle w:val="24"/>
        <w:tblW w:w="2122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239"/>
        <w:gridCol w:w="4394"/>
        <w:gridCol w:w="4962"/>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158"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158" w:type="dxa"/>
            <w:gridSpan w:val="2"/>
            <w:vMerge w:val="continue"/>
            <w:vAlign w:val="center"/>
          </w:tcPr>
          <w:p>
            <w:pPr>
              <w:widowControl/>
              <w:jc w:val="left"/>
              <w:rPr>
                <w:rFonts w:ascii="黑体" w:hAnsi="黑体" w:eastAsia="黑体" w:cs="宋体"/>
                <w:b/>
                <w:bCs/>
                <w:kern w:val="0"/>
                <w:sz w:val="20"/>
                <w:szCs w:val="20"/>
              </w:rPr>
            </w:pPr>
          </w:p>
        </w:tc>
        <w:tc>
          <w:tcPr>
            <w:tcW w:w="4394"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962"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给排水</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雨水系统及低影响开发</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采用的降雨强度和雨水排水设计重现期等内容描述清晰</w:t>
            </w:r>
          </w:p>
        </w:tc>
        <w:tc>
          <w:tcPr>
            <w:tcW w:w="4394" w:type="dxa"/>
            <w:vMerge w:val="restart"/>
            <w:shd w:val="clear" w:color="auto" w:fill="auto"/>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□明确年径流总量控制率、综合雨量径流系数的管控指标，雨水设计符合当地海绵城市专项规划、海绵城市近期建设区域实施方案和《民用建筑雨水控制与利用设计规程》的要求；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□利用场地空间设置绿色雨水基础设施，至少达到下列指标中的一项：</w:t>
            </w:r>
            <w:r>
              <w:rPr>
                <w:rFonts w:ascii="宋体" w:hAnsi="宋体" w:eastAsia="宋体" w:cs="宋体"/>
                <w:kern w:val="0"/>
                <w:sz w:val="20"/>
                <w:szCs w:val="20"/>
              </w:rPr>
              <w:t xml:space="preserve">1 )有调蓄雨水功能的绿地和水体的面积之和占绿地面积的比例达到 40%；2) </w:t>
            </w:r>
            <w:r>
              <w:rPr>
                <w:rFonts w:hint="eastAsia" w:ascii="宋体" w:hAnsi="宋体" w:eastAsia="宋体" w:cs="宋体"/>
                <w:kern w:val="0"/>
                <w:sz w:val="20"/>
                <w:szCs w:val="20"/>
              </w:rPr>
              <w:t>衔接和引导不少于</w:t>
            </w:r>
            <w:r>
              <w:rPr>
                <w:rFonts w:ascii="宋体" w:hAnsi="宋体" w:eastAsia="宋体" w:cs="宋体"/>
                <w:kern w:val="0"/>
                <w:sz w:val="20"/>
                <w:szCs w:val="20"/>
              </w:rPr>
              <w:t xml:space="preserve"> 80%的屋面雨水进入地面生态设施；3 )衔接和引导不少于 80%的道路雨水进入地面生态设施；4) </w:t>
            </w:r>
            <w:r>
              <w:rPr>
                <w:rFonts w:hint="eastAsia" w:ascii="宋体" w:hAnsi="宋体" w:eastAsia="宋体" w:cs="宋体"/>
                <w:kern w:val="0"/>
                <w:sz w:val="20"/>
                <w:szCs w:val="20"/>
              </w:rPr>
              <w:t>硬质铺装地面中透水铺装面积的比例达到</w:t>
            </w:r>
            <w:r>
              <w:rPr>
                <w:rFonts w:ascii="宋体" w:hAnsi="宋体" w:eastAsia="宋体" w:cs="宋体"/>
                <w:kern w:val="0"/>
                <w:sz w:val="20"/>
                <w:szCs w:val="20"/>
              </w:rPr>
              <w:t xml:space="preserve"> 50%。</w:t>
            </w:r>
          </w:p>
        </w:tc>
        <w:tc>
          <w:tcPr>
            <w:tcW w:w="4962" w:type="dxa"/>
            <w:vMerge w:val="restart"/>
            <w:shd w:val="clear" w:color="auto" w:fill="auto"/>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明确年径流总量控制率、综合雨量径流系数的管控指标，雨水设计符合当地海绵城市专项规划、海绵城市近期建设区域实施方案和《民用建筑雨水控制与利用设计规程》的要求；结合本地降雨特性，充分利用场地空间，合理设置绿色雨水基础设施，减少雨水地表径流；</w:t>
            </w:r>
            <w:r>
              <w:rPr>
                <w:rFonts w:ascii="宋体" w:hAnsi="宋体" w:eastAsia="宋体" w:cs="宋体"/>
                <w:kern w:val="0"/>
                <w:sz w:val="20"/>
                <w:szCs w:val="20"/>
              </w:rPr>
              <w:t xml:space="preserve"> </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设置雨水收集利用系统，并通过水量平衡计算和技术经济分析，合理确定雨水积蓄、处理及利用方案，雨水收集利用系统应设置雨水初期弃流装置和雨水调节池，收集、处理及利用系统可与景观水体设计相结合，处理后的水质应达到相应用途的水质标准；</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□使用非传统水源必须采取用水安全保障措施，且不得对人体健康与周围环境产生不良影响；</w:t>
            </w:r>
            <w:r>
              <w:rPr>
                <w:rFonts w:ascii="宋体" w:hAnsi="宋体" w:eastAsia="宋体" w:cs="宋体"/>
                <w:kern w:val="0"/>
                <w:sz w:val="20"/>
                <w:szCs w:val="20"/>
              </w:rPr>
              <w:br w:type="textWrapping"/>
            </w:r>
            <w:r>
              <w:rPr>
                <w:rFonts w:hint="eastAsia" w:ascii="宋体" w:hAnsi="宋体" w:eastAsia="宋体" w:cs="宋体"/>
                <w:kern w:val="0"/>
                <w:sz w:val="20"/>
                <w:szCs w:val="20"/>
              </w:rPr>
              <w:t>□利用场地空间设置绿色雨水基础设施，至少达到下列指标中的二项：</w:t>
            </w:r>
            <w:r>
              <w:rPr>
                <w:rFonts w:ascii="宋体" w:hAnsi="宋体" w:eastAsia="宋体" w:cs="宋体"/>
                <w:kern w:val="0"/>
                <w:sz w:val="20"/>
                <w:szCs w:val="20"/>
              </w:rPr>
              <w:t xml:space="preserve">1 )有调蓄雨水功能的绿地和水体的面积之和占绿地面积的比例达到 40%；2) </w:t>
            </w:r>
            <w:r>
              <w:rPr>
                <w:rFonts w:hint="eastAsia" w:ascii="宋体" w:hAnsi="宋体" w:eastAsia="宋体" w:cs="宋体"/>
                <w:kern w:val="0"/>
                <w:sz w:val="20"/>
                <w:szCs w:val="20"/>
              </w:rPr>
              <w:t>衔接和引导不少于</w:t>
            </w:r>
            <w:r>
              <w:rPr>
                <w:rFonts w:ascii="宋体" w:hAnsi="宋体" w:eastAsia="宋体" w:cs="宋体"/>
                <w:kern w:val="0"/>
                <w:sz w:val="20"/>
                <w:szCs w:val="20"/>
              </w:rPr>
              <w:t xml:space="preserve"> 80%的屋面雨水进入地面生态设施；3 )衔接和引导不少于 80%的道路雨水进入地面生态设施；4) </w:t>
            </w:r>
            <w:r>
              <w:rPr>
                <w:rFonts w:hint="eastAsia" w:ascii="宋体" w:hAnsi="宋体" w:eastAsia="宋体" w:cs="宋体"/>
                <w:kern w:val="0"/>
                <w:sz w:val="20"/>
                <w:szCs w:val="20"/>
              </w:rPr>
              <w:t>硬质铺装地面中透水铺装面积的比例达到</w:t>
            </w:r>
            <w:r>
              <w:rPr>
                <w:rFonts w:ascii="宋体" w:hAnsi="宋体" w:eastAsia="宋体" w:cs="宋体"/>
                <w:kern w:val="0"/>
                <w:sz w:val="20"/>
                <w:szCs w:val="20"/>
              </w:rPr>
              <w:t xml:space="preserve"> 50%。</w:t>
            </w:r>
          </w:p>
        </w:tc>
        <w:tc>
          <w:tcPr>
            <w:tcW w:w="4819" w:type="dxa"/>
            <w:vMerge w:val="restart"/>
            <w:shd w:val="clear" w:color="auto" w:fill="auto"/>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明确年径流总量控制率、综合雨量径流系数的管控指标，雨水设计符合当地海绵城市专项规划、海绵城市近期建设区域实施方案和《民用建筑雨水控制与利用设计规程》的要求；结合本地降雨特性，充分利用场地空间，合理设置绿色雨水基础设施，减少雨水地表径流；</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设置雨水收集利用系统，并通过水量平衡计算和技术经济分析，合理确定雨水积蓄、处理及利用方案，雨水收集利用系统应设置雨水初期弃流装置和雨水调节池，收集、处理及利用系统可与景观水体设计相结合，处理后的水质应达到相应用途的水质标准；</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□使用非传统水源必须采取用水安全保障措施，且不得对人体健康与周围环境产生不良影响；</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□利用场地空间设置绿色雨水基础设施，至少达到下列指标中的三项：</w:t>
            </w:r>
            <w:r>
              <w:rPr>
                <w:rFonts w:ascii="宋体" w:hAnsi="宋体" w:eastAsia="宋体" w:cs="宋体"/>
                <w:kern w:val="0"/>
                <w:sz w:val="20"/>
                <w:szCs w:val="20"/>
              </w:rPr>
              <w:t xml:space="preserve">1 )有调蓄雨水功能的绿地和水体的面积之和占绿地面积的比例达到 60%；2) </w:t>
            </w:r>
            <w:r>
              <w:rPr>
                <w:rFonts w:hint="eastAsia" w:ascii="宋体" w:hAnsi="宋体" w:eastAsia="宋体" w:cs="宋体"/>
                <w:kern w:val="0"/>
                <w:sz w:val="20"/>
                <w:szCs w:val="20"/>
              </w:rPr>
              <w:t>衔接和引导不少于</w:t>
            </w:r>
            <w:r>
              <w:rPr>
                <w:rFonts w:ascii="宋体" w:hAnsi="宋体" w:eastAsia="宋体" w:cs="宋体"/>
                <w:kern w:val="0"/>
                <w:sz w:val="20"/>
                <w:szCs w:val="20"/>
              </w:rPr>
              <w:t xml:space="preserve"> 80%的屋面雨水进入地面生态设施；3 )衔接和引导不少于 80%的道路雨水进入地面生态设施；4) </w:t>
            </w:r>
            <w:r>
              <w:rPr>
                <w:rFonts w:hint="eastAsia" w:ascii="宋体" w:hAnsi="宋体" w:eastAsia="宋体" w:cs="宋体"/>
                <w:kern w:val="0"/>
                <w:sz w:val="20"/>
                <w:szCs w:val="20"/>
              </w:rPr>
              <w:t>硬质铺装地面中透水铺装面积的比例达到</w:t>
            </w:r>
            <w:r>
              <w:rPr>
                <w:rFonts w:ascii="宋体" w:hAnsi="宋体" w:eastAsia="宋体" w:cs="宋体"/>
                <w:kern w:val="0"/>
                <w:sz w:val="20"/>
                <w:szCs w:val="20"/>
              </w:rPr>
              <w:t xml:space="preserve"> 50%。                                                                                                                                        </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屋面雨水排水系统选择</w:t>
            </w:r>
          </w:p>
        </w:tc>
        <w:tc>
          <w:tcPr>
            <w:tcW w:w="4394" w:type="dxa"/>
            <w:vMerge w:val="continue"/>
            <w:vAlign w:val="center"/>
          </w:tcPr>
          <w:p>
            <w:pPr>
              <w:widowControl/>
              <w:jc w:val="left"/>
              <w:rPr>
                <w:rFonts w:ascii="宋体" w:hAnsi="宋体" w:eastAsia="宋体" w:cs="宋体"/>
                <w:kern w:val="0"/>
                <w:sz w:val="20"/>
                <w:szCs w:val="20"/>
              </w:rPr>
            </w:pPr>
          </w:p>
        </w:tc>
        <w:tc>
          <w:tcPr>
            <w:tcW w:w="4962"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雨水系统的控制和利用措施合理，内容完整。</w:t>
            </w:r>
          </w:p>
        </w:tc>
        <w:tc>
          <w:tcPr>
            <w:tcW w:w="4394" w:type="dxa"/>
            <w:vMerge w:val="continue"/>
            <w:vAlign w:val="center"/>
          </w:tcPr>
          <w:p>
            <w:pPr>
              <w:widowControl/>
              <w:jc w:val="left"/>
              <w:rPr>
                <w:rFonts w:ascii="宋体" w:hAnsi="宋体" w:eastAsia="宋体" w:cs="宋体"/>
                <w:kern w:val="0"/>
                <w:sz w:val="20"/>
                <w:szCs w:val="20"/>
              </w:rPr>
            </w:pPr>
          </w:p>
        </w:tc>
        <w:tc>
          <w:tcPr>
            <w:tcW w:w="4962"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景观水体的水源</w:t>
            </w:r>
          </w:p>
        </w:tc>
        <w:tc>
          <w:tcPr>
            <w:tcW w:w="4394" w:type="dxa"/>
            <w:vMerge w:val="restart"/>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□景观水体水源设计满足现行的政策及规范要求，非亲水性的室外景观水体用水水源不采用市政自来水和地下井水；</w:t>
            </w:r>
          </w:p>
          <w:p>
            <w:pPr>
              <w:widowControl/>
              <w:jc w:val="left"/>
              <w:rPr>
                <w:rFonts w:ascii="宋体" w:hAnsi="宋体" w:eastAsia="宋体" w:cs="宋体"/>
                <w:kern w:val="0"/>
                <w:sz w:val="20"/>
                <w:szCs w:val="20"/>
              </w:rPr>
            </w:pPr>
          </w:p>
        </w:tc>
        <w:tc>
          <w:tcPr>
            <w:tcW w:w="4962"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□景观水体水源设计满足现行的政策及规范要求，非亲水性的室外景观水体用水水源不采用市政自来水和地下井水；</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□景观水体根据非传统水源的情况合理规划水景规模，并结合水景设计采取水质安全保障措施；</w:t>
            </w:r>
            <w:r>
              <w:rPr>
                <w:rFonts w:ascii="宋体" w:hAnsi="宋体" w:eastAsia="宋体" w:cs="宋体"/>
                <w:kern w:val="0"/>
                <w:sz w:val="20"/>
                <w:szCs w:val="20"/>
              </w:rPr>
              <w:t xml:space="preserve">                                                                                                                                          </w:t>
            </w:r>
            <w:r>
              <w:rPr>
                <w:rFonts w:hint="eastAsia" w:ascii="宋体" w:hAnsi="宋体" w:eastAsia="宋体" w:cs="宋体"/>
                <w:kern w:val="0"/>
                <w:sz w:val="20"/>
                <w:szCs w:val="20"/>
              </w:rPr>
              <w:t>□景观水体结合雨水综合利用设施营造，室外景观水体利用雨水的补水量应大于其水体蒸发量的</w:t>
            </w:r>
            <w:r>
              <w:rPr>
                <w:rFonts w:ascii="宋体" w:hAnsi="宋体" w:eastAsia="宋体" w:cs="宋体"/>
                <w:kern w:val="0"/>
                <w:sz w:val="20"/>
                <w:szCs w:val="20"/>
              </w:rPr>
              <w:t xml:space="preserve"> 60% </w:t>
            </w:r>
            <w:r>
              <w:rPr>
                <w:rFonts w:hint="eastAsia" w:ascii="宋体" w:hAnsi="宋体" w:eastAsia="宋体" w:cs="宋体"/>
                <w:kern w:val="0"/>
                <w:sz w:val="20"/>
                <w:szCs w:val="20"/>
              </w:rPr>
              <w:t>，且采用保障水体水质的生态水处理技术。</w:t>
            </w:r>
          </w:p>
        </w:tc>
        <w:tc>
          <w:tcPr>
            <w:tcW w:w="48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□景观水体水源设计满足现行的政策及规范要求，非亲水性的室外景观水体用水水源不采用市政自来水和地下井水；</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□景观水体根据非传统水源的情况合理规划水景规模，并结合水景设计采取水质安全保障措施；</w:t>
            </w:r>
            <w:r>
              <w:rPr>
                <w:rFonts w:ascii="宋体" w:hAnsi="宋体" w:eastAsia="宋体" w:cs="宋体"/>
                <w:kern w:val="0"/>
                <w:sz w:val="20"/>
                <w:szCs w:val="20"/>
              </w:rPr>
              <w:t xml:space="preserve">                                                                                                                                          □景观水体结合雨水综合利用设施营造，室外景观水体利用雨水的补水量应大于其水体蒸发量的 60% ，且采用保障水体水质的生态水处理技术。                                                                                                                                   </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景观水体补充水量</w:t>
            </w:r>
          </w:p>
        </w:tc>
        <w:tc>
          <w:tcPr>
            <w:tcW w:w="4394" w:type="dxa"/>
            <w:vMerge w:val="continue"/>
            <w:vAlign w:val="center"/>
          </w:tcPr>
          <w:p>
            <w:pPr>
              <w:widowControl/>
              <w:jc w:val="left"/>
              <w:rPr>
                <w:rFonts w:ascii="宋体" w:hAnsi="宋体" w:eastAsia="宋体" w:cs="宋体"/>
                <w:kern w:val="0"/>
                <w:sz w:val="20"/>
                <w:szCs w:val="20"/>
              </w:rPr>
            </w:pPr>
          </w:p>
        </w:tc>
        <w:tc>
          <w:tcPr>
            <w:tcW w:w="4962"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景观水体的水质保持措施等内容</w:t>
            </w:r>
          </w:p>
        </w:tc>
        <w:tc>
          <w:tcPr>
            <w:tcW w:w="4394" w:type="dxa"/>
            <w:vMerge w:val="continue"/>
            <w:vAlign w:val="center"/>
          </w:tcPr>
          <w:p>
            <w:pPr>
              <w:widowControl/>
              <w:jc w:val="left"/>
              <w:rPr>
                <w:rFonts w:ascii="宋体" w:hAnsi="宋体" w:eastAsia="宋体" w:cs="宋体"/>
                <w:kern w:val="0"/>
                <w:sz w:val="20"/>
                <w:szCs w:val="20"/>
              </w:rPr>
            </w:pPr>
          </w:p>
        </w:tc>
        <w:tc>
          <w:tcPr>
            <w:tcW w:w="4962"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环保</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主要污染物的排放性质、排放位置等内容</w:t>
            </w:r>
          </w:p>
        </w:tc>
        <w:tc>
          <w:tcPr>
            <w:tcW w:w="14175"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□污染物处理、排放合理</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计算书</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用水量计算表（包括给水、热水等各种用水定额、用水单位数、使用时数、小时变化系数、最高日用水量、平均时用水量、最大时用水量等内容计算）</w:t>
            </w:r>
          </w:p>
        </w:tc>
        <w:tc>
          <w:tcPr>
            <w:tcW w:w="14175"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□复核项目各种用水定额的选取、项目的最高日用水量以及年用水量符合现行国家规范与标准要求、用水单位数是否与建筑专业、经济技术指标一致。</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□给排水各个系统计算和设备选型准确合理</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中水系统、雨水利用水量平衡计算</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给水系统、热水系统、排水系统、循环冷却水系统、各种水处理系统及可再生能源应用系统等系统计算和设备选型</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bl>
    <w:p>
      <w:pPr>
        <w:rPr>
          <w:sz w:val="16"/>
          <w:szCs w:val="16"/>
        </w:rPr>
      </w:pPr>
    </w:p>
    <w:tbl>
      <w:tblPr>
        <w:tblStyle w:val="24"/>
        <w:tblW w:w="2122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239"/>
        <w:gridCol w:w="4394"/>
        <w:gridCol w:w="4962"/>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158"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158" w:type="dxa"/>
            <w:gridSpan w:val="2"/>
            <w:vMerge w:val="continue"/>
            <w:vAlign w:val="center"/>
          </w:tcPr>
          <w:p>
            <w:pPr>
              <w:widowControl/>
              <w:jc w:val="left"/>
              <w:rPr>
                <w:rFonts w:ascii="黑体" w:hAnsi="黑体" w:eastAsia="黑体" w:cs="宋体"/>
                <w:b/>
                <w:bCs/>
                <w:kern w:val="0"/>
                <w:sz w:val="20"/>
                <w:szCs w:val="20"/>
              </w:rPr>
            </w:pPr>
          </w:p>
        </w:tc>
        <w:tc>
          <w:tcPr>
            <w:tcW w:w="4394"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962"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给排水</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设计图纸</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建筑室外给排水总平面图：给排水管道位置、管径等内容</w:t>
            </w:r>
          </w:p>
        </w:tc>
        <w:tc>
          <w:tcPr>
            <w:tcW w:w="14175"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□复核项目各种水系统设计以及相应设备选型与布置的合理性</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给排水系统原理图：工程涉及的给水系统、热水系统、循环水系统、排水系统、中水系统、热水系统、雨水利用等系统原理图和水处理流程图，系统原理图中应标注建筑楼层编号及楼层标高等内容；</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给排水平面图：地下室、标准层、管道和设备复杂层的平面图等内容；</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水池、泵房、热交换站水处理间等平面图；</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restart"/>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可再生利用</w:t>
            </w:r>
          </w:p>
        </w:tc>
        <w:tc>
          <w:tcPr>
            <w:tcW w:w="919" w:type="dxa"/>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可再生能源系统说明完整</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可再生能源利用系统或余热废热利用资源的设置场所</w:t>
            </w:r>
          </w:p>
        </w:tc>
        <w:tc>
          <w:tcPr>
            <w:tcW w:w="14175" w:type="dxa"/>
            <w:gridSpan w:val="3"/>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□新建建筑设置太阳能系统</w:t>
            </w:r>
          </w:p>
          <w:p>
            <w:pPr>
              <w:widowControl/>
              <w:jc w:val="left"/>
              <w:rPr>
                <w:rFonts w:ascii="宋体" w:hAnsi="宋体" w:eastAsia="宋体" w:cs="宋体"/>
                <w:kern w:val="0"/>
                <w:sz w:val="20"/>
                <w:szCs w:val="20"/>
              </w:rPr>
            </w:pPr>
            <w:r>
              <w:rPr>
                <w:rFonts w:hint="eastAsia"/>
              </w:rPr>
              <w:t>□太阳能光伏系统的光伏组件类型、光电转换效率</w:t>
            </w:r>
            <w:r>
              <w:rPr>
                <w:rFonts w:ascii="宋体" w:hAnsi="宋体" w:eastAsia="宋体" w:cs="宋体"/>
                <w:kern w:val="0"/>
                <w:sz w:val="20"/>
                <w:szCs w:val="20"/>
              </w:rPr>
              <w:br w:type="textWrapping"/>
            </w:r>
            <w:r>
              <w:rPr>
                <w:rFonts w:hint="eastAsia" w:ascii="宋体" w:hAnsi="宋体" w:eastAsia="宋体" w:cs="宋体"/>
                <w:kern w:val="0"/>
                <w:sz w:val="20"/>
                <w:szCs w:val="20"/>
              </w:rPr>
              <w:t>□可再生能源利用系统或余热废热利用资源的利用及系统设置合理</w:t>
            </w:r>
            <w:r>
              <w:rPr>
                <w:rFonts w:ascii="宋体" w:hAnsi="宋体" w:eastAsia="宋体" w:cs="宋体"/>
                <w:kern w:val="0"/>
                <w:sz w:val="20"/>
                <w:szCs w:val="20"/>
              </w:rPr>
              <w:br w:type="textWrapping"/>
            </w:r>
            <w:r>
              <w:rPr>
                <w:rFonts w:hint="eastAsia" w:ascii="宋体" w:hAnsi="宋体" w:eastAsia="宋体" w:cs="宋体"/>
                <w:kern w:val="0"/>
                <w:sz w:val="20"/>
                <w:szCs w:val="20"/>
              </w:rPr>
              <w:t>□可再生能源综合利用量满足现行浙江省《民用建筑可再生能源应用核算标准》（</w:t>
            </w:r>
            <w:r>
              <w:rPr>
                <w:rFonts w:ascii="宋体" w:hAnsi="宋体" w:eastAsia="宋体" w:cs="宋体"/>
                <w:kern w:val="0"/>
                <w:sz w:val="20"/>
                <w:szCs w:val="20"/>
              </w:rPr>
              <w:t>DB 33/1105)</w:t>
            </w:r>
          </w:p>
        </w:tc>
        <w:tc>
          <w:tcPr>
            <w:tcW w:w="1220" w:type="dxa"/>
            <w:vMerge w:val="restart"/>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可再生能源利用系统或余热废热利用资源的能源种类</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可再生能源利用系统或余热废热利用系统的主要设备选型和关键参数</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可再生能源利用系统或余热废热利用资源的系统形式</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可再生能源利用系统或余热废热利用系统的综合利用量</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可再生能源的布置及原理图</w:t>
            </w:r>
          </w:p>
        </w:tc>
        <w:tc>
          <w:tcPr>
            <w:tcW w:w="14175" w:type="dxa"/>
            <w:gridSpan w:val="3"/>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□复核可再生能源应用的可行性与合理性</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vAlign w:val="center"/>
          </w:tcPr>
          <w:p>
            <w:pPr>
              <w:widowControl/>
              <w:jc w:val="center"/>
              <w:rPr>
                <w:rFonts w:ascii="宋体" w:hAnsi="宋体" w:eastAsia="宋体" w:cs="宋体"/>
                <w:b/>
                <w:bCs/>
                <w:kern w:val="0"/>
                <w:sz w:val="20"/>
                <w:szCs w:val="20"/>
              </w:rPr>
            </w:pPr>
          </w:p>
        </w:tc>
        <w:tc>
          <w:tcPr>
            <w:tcW w:w="919" w:type="dxa"/>
            <w:vMerge w:val="restart"/>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数值模拟</w:t>
            </w:r>
          </w:p>
        </w:tc>
        <w:tc>
          <w:tcPr>
            <w:tcW w:w="919" w:type="dxa"/>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室外风、热、声环境模拟</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室外风、热环境模拟</w:t>
            </w:r>
          </w:p>
        </w:tc>
        <w:tc>
          <w:tcPr>
            <w:tcW w:w="14175" w:type="dxa"/>
            <w:gridSpan w:val="3"/>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□数值模拟模型是否合理；</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□气象参数合理；</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hint="eastAsia" w:ascii="宋体" w:hAnsi="宋体" w:eastAsia="宋体" w:cs="宋体"/>
                <w:kern w:val="0"/>
                <w:sz w:val="20"/>
                <w:szCs w:val="20"/>
                <w:lang w:bidi="en-US"/>
              </w:rPr>
              <w:t>模拟的相关参数设置符合现行浙江省标准《居住建筑风环境和热环境设计标准》</w:t>
            </w:r>
            <w:r>
              <w:rPr>
                <w:rFonts w:ascii="宋体" w:hAnsi="宋体" w:eastAsia="宋体" w:cs="宋体"/>
                <w:kern w:val="0"/>
                <w:sz w:val="20"/>
                <w:szCs w:val="20"/>
                <w:lang w:bidi="en-US"/>
              </w:rPr>
              <w:t>DB 33/1111的规定</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hint="eastAsia" w:ascii="宋体" w:hAnsi="宋体" w:eastAsia="宋体" w:cs="宋体"/>
                <w:kern w:val="0"/>
                <w:sz w:val="20"/>
                <w:szCs w:val="20"/>
                <w:lang w:bidi="en-US"/>
              </w:rPr>
              <w:t>模拟计算结果符合《绿色建筑设计标准》</w:t>
            </w:r>
            <w:r>
              <w:rPr>
                <w:rFonts w:ascii="宋体" w:hAnsi="宋体" w:eastAsia="宋体" w:cs="宋体"/>
                <w:kern w:val="0"/>
                <w:sz w:val="20"/>
                <w:szCs w:val="20"/>
                <w:lang w:bidi="en-US"/>
              </w:rPr>
              <w:t>DB33/1092的规定</w:t>
            </w:r>
            <w:r>
              <w:rPr>
                <w:rFonts w:hint="eastAsia" w:ascii="宋体" w:hAnsi="宋体" w:eastAsia="宋体" w:cs="宋体"/>
                <w:kern w:val="0"/>
                <w:sz w:val="20"/>
                <w:szCs w:val="20"/>
              </w:rPr>
              <w:t>。</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建议通知建设单位委托能评机构提前介入，进行模拟设计分析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室外场地声环境模拟</w:t>
            </w:r>
          </w:p>
        </w:tc>
        <w:tc>
          <w:tcPr>
            <w:tcW w:w="14175" w:type="dxa"/>
            <w:gridSpan w:val="3"/>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□数值模拟模型是否合理；</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lang w:bidi="en-US"/>
              </w:rPr>
              <w:t>数值模采用的噪声源设置合理</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ascii="宋体" w:hAnsi="宋体" w:eastAsia="宋体" w:cs="宋体"/>
                <w:kern w:val="0"/>
                <w:sz w:val="20"/>
                <w:szCs w:val="20"/>
                <w:lang w:bidi="en-US"/>
              </w:rPr>
              <w:t>模拟的相关参数设置</w:t>
            </w:r>
            <w:r>
              <w:rPr>
                <w:rFonts w:hint="eastAsia" w:ascii="宋体" w:hAnsi="宋体" w:eastAsia="宋体" w:cs="宋体"/>
                <w:kern w:val="0"/>
                <w:sz w:val="20"/>
                <w:szCs w:val="20"/>
                <w:lang w:bidi="en-US"/>
              </w:rPr>
              <w:t>符合</w:t>
            </w:r>
            <w:r>
              <w:rPr>
                <w:rFonts w:ascii="宋体" w:hAnsi="宋体" w:eastAsia="宋体" w:cs="宋体"/>
                <w:kern w:val="0"/>
                <w:sz w:val="20"/>
                <w:szCs w:val="20"/>
                <w:lang w:bidi="en-US"/>
              </w:rPr>
              <w:t>现行行业标准《民用建筑绿色性能计算标准》JGJ/T 449的规定</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hint="eastAsia" w:ascii="宋体" w:hAnsi="宋体" w:eastAsia="宋体" w:cs="宋体"/>
                <w:kern w:val="0"/>
                <w:sz w:val="20"/>
                <w:szCs w:val="20"/>
                <w:lang w:bidi="en-US"/>
              </w:rPr>
              <w:t>模拟计算结果符合《绿色建筑设计标准》</w:t>
            </w:r>
            <w:r>
              <w:rPr>
                <w:rFonts w:ascii="宋体" w:hAnsi="宋体" w:eastAsia="宋体" w:cs="宋体"/>
                <w:kern w:val="0"/>
                <w:sz w:val="20"/>
                <w:szCs w:val="20"/>
                <w:lang w:bidi="en-US"/>
              </w:rPr>
              <w:t>DB33/1092的规定</w:t>
            </w:r>
            <w:r>
              <w:rPr>
                <w:rFonts w:hint="eastAsia" w:ascii="宋体" w:hAnsi="宋体" w:eastAsia="宋体" w:cs="宋体"/>
                <w:kern w:val="0"/>
                <w:sz w:val="20"/>
                <w:szCs w:val="20"/>
              </w:rPr>
              <w:t>。</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建议通知建设单位委托能评机构提前介入，进行模拟设计分析</w:t>
            </w:r>
          </w:p>
        </w:tc>
      </w:tr>
    </w:tbl>
    <w:p/>
    <w:sectPr>
      <w:pgSz w:w="23814" w:h="16839"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- 3 -</w:t>
                    </w:r>
                    <w:r>
                      <w:fldChar w:fldCharType="end"/>
                    </w: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7F"/>
    <w:rsid w:val="00042AE9"/>
    <w:rsid w:val="0007576A"/>
    <w:rsid w:val="00081883"/>
    <w:rsid w:val="00093401"/>
    <w:rsid w:val="000B62E0"/>
    <w:rsid w:val="000C7670"/>
    <w:rsid w:val="001B0184"/>
    <w:rsid w:val="001B7FF0"/>
    <w:rsid w:val="001C7B42"/>
    <w:rsid w:val="0028349F"/>
    <w:rsid w:val="002952B1"/>
    <w:rsid w:val="002B6B45"/>
    <w:rsid w:val="002E1A3B"/>
    <w:rsid w:val="003B0668"/>
    <w:rsid w:val="00404635"/>
    <w:rsid w:val="00430793"/>
    <w:rsid w:val="00496C87"/>
    <w:rsid w:val="004C31BB"/>
    <w:rsid w:val="004C3591"/>
    <w:rsid w:val="004F539F"/>
    <w:rsid w:val="005130AD"/>
    <w:rsid w:val="0052531A"/>
    <w:rsid w:val="00547577"/>
    <w:rsid w:val="00600E25"/>
    <w:rsid w:val="006C2B0C"/>
    <w:rsid w:val="006E3C7E"/>
    <w:rsid w:val="00731D12"/>
    <w:rsid w:val="00771F4F"/>
    <w:rsid w:val="007B3ACE"/>
    <w:rsid w:val="007C307F"/>
    <w:rsid w:val="00811C43"/>
    <w:rsid w:val="00840BFD"/>
    <w:rsid w:val="008C06F5"/>
    <w:rsid w:val="008F1C22"/>
    <w:rsid w:val="00901FD8"/>
    <w:rsid w:val="00921A82"/>
    <w:rsid w:val="00931D9E"/>
    <w:rsid w:val="009652AF"/>
    <w:rsid w:val="009812E5"/>
    <w:rsid w:val="00982A0A"/>
    <w:rsid w:val="009B4391"/>
    <w:rsid w:val="009E0E83"/>
    <w:rsid w:val="00A51953"/>
    <w:rsid w:val="00A629BD"/>
    <w:rsid w:val="00AC41BB"/>
    <w:rsid w:val="00AC56DE"/>
    <w:rsid w:val="00B425FC"/>
    <w:rsid w:val="00B46ADA"/>
    <w:rsid w:val="00C214DA"/>
    <w:rsid w:val="00CB05C6"/>
    <w:rsid w:val="00CF56D6"/>
    <w:rsid w:val="00D033F1"/>
    <w:rsid w:val="00D35BA6"/>
    <w:rsid w:val="00DD2ED1"/>
    <w:rsid w:val="00DE2B4E"/>
    <w:rsid w:val="00E40902"/>
    <w:rsid w:val="00E42B54"/>
    <w:rsid w:val="00E56A84"/>
    <w:rsid w:val="00E81CAD"/>
    <w:rsid w:val="00EA457A"/>
    <w:rsid w:val="00F10F45"/>
    <w:rsid w:val="00F21F4C"/>
    <w:rsid w:val="00F27E96"/>
    <w:rsid w:val="00F3462C"/>
    <w:rsid w:val="00F521FC"/>
    <w:rsid w:val="00F547AD"/>
    <w:rsid w:val="00F85802"/>
    <w:rsid w:val="00FA306C"/>
    <w:rsid w:val="00FA4027"/>
    <w:rsid w:val="00FC1514"/>
    <w:rsid w:val="06FBC7C4"/>
    <w:rsid w:val="37FB3E96"/>
    <w:rsid w:val="5EFF7724"/>
    <w:rsid w:val="7FFABA36"/>
    <w:rsid w:val="9EE755BA"/>
    <w:rsid w:val="BF7E1343"/>
    <w:rsid w:val="FEBF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unhideWhenUsed/>
    <w:qFormat/>
    <w:uiPriority w:val="9"/>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sz w:val="18"/>
      <w:szCs w:val="18"/>
    </w:rPr>
  </w:style>
  <w:style w:type="paragraph" w:styleId="8">
    <w:name w:val="Document Map"/>
    <w:basedOn w:val="1"/>
    <w:link w:val="34"/>
    <w:semiHidden/>
    <w:unhideWhenUsed/>
    <w:qFormat/>
    <w:uiPriority w:val="99"/>
    <w:rPr>
      <w:rFonts w:ascii="宋体" w:eastAsia="宋体"/>
      <w:sz w:val="18"/>
      <w:szCs w:val="18"/>
    </w:rPr>
  </w:style>
  <w:style w:type="paragraph" w:styleId="9">
    <w:name w:val="annotation text"/>
    <w:basedOn w:val="1"/>
    <w:link w:val="35"/>
    <w:unhideWhenUsed/>
    <w:qFormat/>
    <w:uiPriority w:val="0"/>
    <w:pPr>
      <w:jc w:val="left"/>
    </w:pPr>
  </w:style>
  <w:style w:type="paragraph" w:styleId="10">
    <w:name w:val="Body Text"/>
    <w:basedOn w:val="1"/>
    <w:qFormat/>
    <w:uiPriority w:val="0"/>
    <w:pPr>
      <w:pBdr>
        <w:top w:val="single" w:color="auto" w:sz="6" w:space="1"/>
        <w:bottom w:val="single" w:color="auto" w:sz="6" w:space="1"/>
      </w:pBdr>
    </w:pPr>
    <w:rPr>
      <w:rFonts w:ascii="仿宋_GB2312"/>
    </w:rPr>
  </w:style>
  <w:style w:type="paragraph" w:styleId="11">
    <w:name w:val="toc 5"/>
    <w:basedOn w:val="1"/>
    <w:next w:val="1"/>
    <w:unhideWhenUsed/>
    <w:qFormat/>
    <w:uiPriority w:val="39"/>
    <w:pPr>
      <w:ind w:left="840"/>
      <w:jc w:val="left"/>
    </w:pPr>
    <w:rPr>
      <w:sz w:val="18"/>
      <w:szCs w:val="18"/>
    </w:rPr>
  </w:style>
  <w:style w:type="paragraph" w:styleId="12">
    <w:name w:val="toc 3"/>
    <w:basedOn w:val="1"/>
    <w:next w:val="1"/>
    <w:unhideWhenUsed/>
    <w:qFormat/>
    <w:uiPriority w:val="39"/>
    <w:pPr>
      <w:ind w:left="420"/>
      <w:jc w:val="left"/>
    </w:pPr>
    <w:rPr>
      <w:i/>
      <w:iCs/>
      <w:sz w:val="20"/>
      <w:szCs w:val="20"/>
    </w:rPr>
  </w:style>
  <w:style w:type="paragraph" w:styleId="13">
    <w:name w:val="toc 8"/>
    <w:basedOn w:val="1"/>
    <w:next w:val="1"/>
    <w:unhideWhenUsed/>
    <w:qFormat/>
    <w:uiPriority w:val="39"/>
    <w:pPr>
      <w:ind w:left="1470"/>
      <w:jc w:val="left"/>
    </w:pPr>
    <w:rPr>
      <w:sz w:val="18"/>
      <w:szCs w:val="18"/>
    </w:rPr>
  </w:style>
  <w:style w:type="paragraph" w:styleId="14">
    <w:name w:val="Balloon Text"/>
    <w:basedOn w:val="1"/>
    <w:link w:val="36"/>
    <w:semiHidden/>
    <w:unhideWhenUsed/>
    <w:qFormat/>
    <w:uiPriority w:val="99"/>
    <w:rPr>
      <w:sz w:val="18"/>
      <w:szCs w:val="18"/>
    </w:rPr>
  </w:style>
  <w:style w:type="paragraph" w:styleId="15">
    <w:name w:val="footer"/>
    <w:basedOn w:val="1"/>
    <w:link w:val="37"/>
    <w:unhideWhenUsed/>
    <w:qFormat/>
    <w:uiPriority w:val="99"/>
    <w:pPr>
      <w:tabs>
        <w:tab w:val="center" w:pos="4153"/>
        <w:tab w:val="right" w:pos="8306"/>
      </w:tabs>
      <w:snapToGrid w:val="0"/>
      <w:jc w:val="left"/>
    </w:pPr>
    <w:rPr>
      <w:sz w:val="18"/>
      <w:szCs w:val="18"/>
    </w:rPr>
  </w:style>
  <w:style w:type="paragraph" w:styleId="16">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b/>
      <w:bCs/>
      <w:caps/>
      <w:sz w:val="20"/>
      <w:szCs w:val="20"/>
    </w:rPr>
  </w:style>
  <w:style w:type="paragraph" w:styleId="18">
    <w:name w:val="toc 4"/>
    <w:basedOn w:val="1"/>
    <w:next w:val="1"/>
    <w:unhideWhenUsed/>
    <w:qFormat/>
    <w:uiPriority w:val="39"/>
    <w:pPr>
      <w:ind w:left="630"/>
      <w:jc w:val="left"/>
    </w:pPr>
    <w:rPr>
      <w:sz w:val="18"/>
      <w:szCs w:val="18"/>
    </w:rPr>
  </w:style>
  <w:style w:type="paragraph" w:styleId="19">
    <w:name w:val="toc 6"/>
    <w:basedOn w:val="1"/>
    <w:next w:val="1"/>
    <w:unhideWhenUsed/>
    <w:qFormat/>
    <w:uiPriority w:val="39"/>
    <w:pPr>
      <w:ind w:left="1050"/>
      <w:jc w:val="left"/>
    </w:pPr>
    <w:rPr>
      <w:sz w:val="18"/>
      <w:szCs w:val="18"/>
    </w:rPr>
  </w:style>
  <w:style w:type="paragraph" w:styleId="20">
    <w:name w:val="toc 2"/>
    <w:basedOn w:val="1"/>
    <w:next w:val="1"/>
    <w:unhideWhenUsed/>
    <w:qFormat/>
    <w:uiPriority w:val="39"/>
    <w:pPr>
      <w:ind w:left="210"/>
      <w:jc w:val="left"/>
    </w:pPr>
    <w:rPr>
      <w:smallCaps/>
      <w:sz w:val="20"/>
      <w:szCs w:val="20"/>
    </w:rPr>
  </w:style>
  <w:style w:type="paragraph" w:styleId="21">
    <w:name w:val="toc 9"/>
    <w:basedOn w:val="1"/>
    <w:next w:val="1"/>
    <w:unhideWhenUsed/>
    <w:qFormat/>
    <w:uiPriority w:val="39"/>
    <w:pPr>
      <w:ind w:left="1680"/>
      <w:jc w:val="left"/>
    </w:pPr>
    <w:rPr>
      <w:sz w:val="18"/>
      <w:szCs w:val="18"/>
    </w:rPr>
  </w:style>
  <w:style w:type="paragraph" w:styleId="22">
    <w:name w:val="Normal (Web)"/>
    <w:basedOn w:val="1"/>
    <w:qFormat/>
    <w:uiPriority w:val="99"/>
    <w:pPr>
      <w:spacing w:before="100" w:beforeAutospacing="1" w:after="100" w:afterAutospacing="1"/>
      <w:jc w:val="left"/>
    </w:pPr>
    <w:rPr>
      <w:kern w:val="0"/>
      <w:sz w:val="24"/>
      <w:szCs w:val="24"/>
    </w:rPr>
  </w:style>
  <w:style w:type="paragraph" w:styleId="23">
    <w:name w:val="annotation subject"/>
    <w:basedOn w:val="9"/>
    <w:next w:val="9"/>
    <w:link w:val="39"/>
    <w:semiHidden/>
    <w:unhideWhenUsed/>
    <w:qFormat/>
    <w:uiPriority w:val="99"/>
    <w:rPr>
      <w:b/>
      <w:bCs/>
    </w:rPr>
  </w:style>
  <w:style w:type="character" w:styleId="26">
    <w:name w:val="page number"/>
    <w:basedOn w:val="25"/>
    <w:qFormat/>
    <w:uiPriority w:val="0"/>
  </w:style>
  <w:style w:type="character" w:styleId="27">
    <w:name w:val="Hyperlink"/>
    <w:basedOn w:val="25"/>
    <w:unhideWhenUsed/>
    <w:qFormat/>
    <w:uiPriority w:val="99"/>
    <w:rPr>
      <w:color w:val="0000FF"/>
      <w:u w:val="single"/>
    </w:rPr>
  </w:style>
  <w:style w:type="character" w:styleId="28">
    <w:name w:val="annotation reference"/>
    <w:basedOn w:val="25"/>
    <w:semiHidden/>
    <w:unhideWhenUsed/>
    <w:qFormat/>
    <w:uiPriority w:val="99"/>
    <w:rPr>
      <w:sz w:val="21"/>
      <w:szCs w:val="21"/>
    </w:rPr>
  </w:style>
  <w:style w:type="character" w:customStyle="1" w:styleId="29">
    <w:name w:val="标题 1 Char"/>
    <w:basedOn w:val="25"/>
    <w:link w:val="2"/>
    <w:qFormat/>
    <w:uiPriority w:val="9"/>
    <w:rPr>
      <w:b/>
      <w:bCs/>
      <w:kern w:val="44"/>
      <w:sz w:val="44"/>
      <w:szCs w:val="44"/>
    </w:rPr>
  </w:style>
  <w:style w:type="character" w:customStyle="1" w:styleId="30">
    <w:name w:val="标题 2 Char"/>
    <w:basedOn w:val="25"/>
    <w:link w:val="3"/>
    <w:qFormat/>
    <w:uiPriority w:val="9"/>
    <w:rPr>
      <w:rFonts w:asciiTheme="majorHAnsi" w:hAnsiTheme="majorHAnsi" w:eastAsiaTheme="majorEastAsia" w:cstheme="majorBidi"/>
      <w:b/>
      <w:bCs/>
      <w:sz w:val="32"/>
      <w:szCs w:val="32"/>
    </w:rPr>
  </w:style>
  <w:style w:type="character" w:customStyle="1" w:styleId="31">
    <w:name w:val="标题 3 Char"/>
    <w:basedOn w:val="25"/>
    <w:link w:val="4"/>
    <w:qFormat/>
    <w:uiPriority w:val="9"/>
    <w:rPr>
      <w:b/>
      <w:bCs/>
      <w:sz w:val="32"/>
      <w:szCs w:val="32"/>
    </w:rPr>
  </w:style>
  <w:style w:type="character" w:customStyle="1" w:styleId="32">
    <w:name w:val="标题 4 Char"/>
    <w:basedOn w:val="25"/>
    <w:link w:val="5"/>
    <w:qFormat/>
    <w:uiPriority w:val="9"/>
    <w:rPr>
      <w:rFonts w:asciiTheme="majorHAnsi" w:hAnsiTheme="majorHAnsi" w:eastAsiaTheme="majorEastAsia" w:cstheme="majorBidi"/>
      <w:b/>
      <w:bCs/>
      <w:sz w:val="28"/>
      <w:szCs w:val="28"/>
    </w:rPr>
  </w:style>
  <w:style w:type="character" w:customStyle="1" w:styleId="33">
    <w:name w:val="标题 5 Char"/>
    <w:basedOn w:val="25"/>
    <w:link w:val="6"/>
    <w:qFormat/>
    <w:uiPriority w:val="9"/>
    <w:rPr>
      <w:b/>
      <w:bCs/>
      <w:sz w:val="28"/>
      <w:szCs w:val="28"/>
    </w:rPr>
  </w:style>
  <w:style w:type="character" w:customStyle="1" w:styleId="34">
    <w:name w:val="文档结构图 Char"/>
    <w:basedOn w:val="25"/>
    <w:link w:val="8"/>
    <w:semiHidden/>
    <w:qFormat/>
    <w:uiPriority w:val="99"/>
    <w:rPr>
      <w:rFonts w:ascii="宋体" w:eastAsia="宋体"/>
      <w:sz w:val="18"/>
      <w:szCs w:val="18"/>
    </w:rPr>
  </w:style>
  <w:style w:type="character" w:customStyle="1" w:styleId="35">
    <w:name w:val="批注文字 Char"/>
    <w:basedOn w:val="25"/>
    <w:link w:val="9"/>
    <w:qFormat/>
    <w:uiPriority w:val="0"/>
  </w:style>
  <w:style w:type="character" w:customStyle="1" w:styleId="36">
    <w:name w:val="批注框文本 Char"/>
    <w:basedOn w:val="25"/>
    <w:link w:val="14"/>
    <w:semiHidden/>
    <w:qFormat/>
    <w:uiPriority w:val="99"/>
    <w:rPr>
      <w:sz w:val="18"/>
      <w:szCs w:val="18"/>
    </w:rPr>
  </w:style>
  <w:style w:type="character" w:customStyle="1" w:styleId="37">
    <w:name w:val="页脚 Char"/>
    <w:basedOn w:val="25"/>
    <w:link w:val="15"/>
    <w:qFormat/>
    <w:uiPriority w:val="99"/>
    <w:rPr>
      <w:sz w:val="18"/>
      <w:szCs w:val="18"/>
    </w:rPr>
  </w:style>
  <w:style w:type="character" w:customStyle="1" w:styleId="38">
    <w:name w:val="页眉 Char"/>
    <w:basedOn w:val="25"/>
    <w:link w:val="16"/>
    <w:qFormat/>
    <w:uiPriority w:val="0"/>
    <w:rPr>
      <w:sz w:val="18"/>
      <w:szCs w:val="18"/>
    </w:rPr>
  </w:style>
  <w:style w:type="character" w:customStyle="1" w:styleId="39">
    <w:name w:val="批注主题 Char"/>
    <w:basedOn w:val="35"/>
    <w:link w:val="23"/>
    <w:semiHidden/>
    <w:qFormat/>
    <w:uiPriority w:val="99"/>
    <w:rPr>
      <w:b/>
      <w:bCs/>
    </w:rPr>
  </w:style>
  <w:style w:type="paragraph" w:styleId="40">
    <w:name w:val="List Paragraph"/>
    <w:basedOn w:val="1"/>
    <w:link w:val="42"/>
    <w:qFormat/>
    <w:uiPriority w:val="34"/>
    <w:pPr>
      <w:ind w:firstLine="420" w:firstLineChars="200"/>
    </w:p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42">
    <w:name w:val="列出段落 Char"/>
    <w:link w:val="40"/>
    <w:qFormat/>
    <w:uiPriority w:val="34"/>
  </w:style>
  <w:style w:type="paragraph" w:styleId="4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27490</Words>
  <Characters>28808</Characters>
  <Lines>251</Lines>
  <Paragraphs>70</Paragraphs>
  <TotalTime>43</TotalTime>
  <ScaleCrop>false</ScaleCrop>
  <LinksUpToDate>false</LinksUpToDate>
  <CharactersWithSpaces>34960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2022-07-30T20:36:00Z</dcterms:created>
  <dc:creator>吴佳艳</dc:creator>
  <cp:lastModifiedBy>user</cp:lastModifiedBy>
  <cp:lastPrinted>2022-09-26T23:12:00Z</cp:lastPrinted>
  <dcterms:modified xsi:type="dcterms:W3CDTF">2022-09-26T17:22:02Z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