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43" w:rsidRDefault="007C40C1">
      <w:pPr>
        <w:rPr>
          <w:rFonts w:ascii="黑体" w:eastAsia="黑体" w:hAnsi="黑体"/>
          <w:szCs w:val="28"/>
        </w:rPr>
      </w:pPr>
      <w:r>
        <w:rPr>
          <w:rFonts w:ascii="黑体" w:eastAsia="黑体" w:hAnsi="黑体" w:hint="eastAsia"/>
          <w:szCs w:val="28"/>
        </w:rPr>
        <w:t>附件</w:t>
      </w:r>
      <w:r>
        <w:rPr>
          <w:rFonts w:ascii="黑体" w:eastAsia="黑体" w:hAnsi="黑体" w:hint="eastAsia"/>
          <w:szCs w:val="28"/>
        </w:rPr>
        <w:t>6</w:t>
      </w:r>
    </w:p>
    <w:tbl>
      <w:tblPr>
        <w:tblW w:w="0" w:type="auto"/>
        <w:jc w:val="center"/>
        <w:tblLayout w:type="fixed"/>
        <w:tblLook w:val="04A0" w:firstRow="1" w:lastRow="0" w:firstColumn="1" w:lastColumn="0" w:noHBand="0" w:noVBand="1"/>
      </w:tblPr>
      <w:tblGrid>
        <w:gridCol w:w="1212"/>
        <w:gridCol w:w="777"/>
        <w:gridCol w:w="355"/>
        <w:gridCol w:w="668"/>
        <w:gridCol w:w="1023"/>
        <w:gridCol w:w="641"/>
        <w:gridCol w:w="381"/>
        <w:gridCol w:w="982"/>
        <w:gridCol w:w="205"/>
        <w:gridCol w:w="2688"/>
      </w:tblGrid>
      <w:tr w:rsidR="00CA5443">
        <w:trPr>
          <w:trHeight w:val="550"/>
          <w:jc w:val="center"/>
        </w:trPr>
        <w:tc>
          <w:tcPr>
            <w:tcW w:w="8932" w:type="dxa"/>
            <w:gridSpan w:val="10"/>
            <w:tcBorders>
              <w:top w:val="nil"/>
              <w:left w:val="nil"/>
              <w:bottom w:val="nil"/>
              <w:right w:val="nil"/>
            </w:tcBorders>
            <w:noWrap/>
            <w:vAlign w:val="center"/>
          </w:tcPr>
          <w:p w:rsidR="00CA5443" w:rsidRDefault="007C40C1">
            <w:pPr>
              <w:widowControl/>
              <w:spacing w:line="500" w:lineRule="exact"/>
              <w:jc w:val="center"/>
              <w:rPr>
                <w:rFonts w:ascii="方正小标宋简体" w:hAnsi="方正小标宋简体" w:cs="宋体"/>
                <w:b/>
                <w:kern w:val="0"/>
                <w:sz w:val="44"/>
                <w:szCs w:val="44"/>
              </w:rPr>
            </w:pPr>
            <w:bookmarkStart w:id="0" w:name="_GoBack"/>
            <w:r>
              <w:rPr>
                <w:rFonts w:ascii="宋体" w:eastAsia="宋体" w:hAnsi="宋体" w:hint="eastAsia"/>
                <w:b/>
                <w:kern w:val="0"/>
                <w:sz w:val="44"/>
                <w:szCs w:val="44"/>
              </w:rPr>
              <w:t>事业单位人员职称申报岗位信息表</w:t>
            </w:r>
            <w:bookmarkEnd w:id="0"/>
          </w:p>
        </w:tc>
      </w:tr>
      <w:tr w:rsidR="00CA5443">
        <w:trPr>
          <w:trHeight w:val="454"/>
          <w:jc w:val="center"/>
        </w:trPr>
        <w:tc>
          <w:tcPr>
            <w:tcW w:w="1212" w:type="dxa"/>
            <w:vMerge w:val="restart"/>
            <w:tcBorders>
              <w:top w:val="single" w:sz="4" w:space="0" w:color="auto"/>
              <w:left w:val="single" w:sz="4" w:space="0" w:color="auto"/>
              <w:bottom w:val="single" w:sz="4" w:space="0" w:color="000000"/>
              <w:right w:val="single" w:sz="4" w:space="0" w:color="auto"/>
            </w:tcBorders>
            <w:noWrap/>
            <w:vAlign w:val="center"/>
          </w:tcPr>
          <w:p w:rsidR="00CA5443" w:rsidRDefault="007C40C1">
            <w:pPr>
              <w:widowControl/>
              <w:spacing w:line="400" w:lineRule="exact"/>
              <w:jc w:val="center"/>
              <w:rPr>
                <w:rFonts w:ascii="仿宋_GB2312" w:cs="宋体"/>
                <w:kern w:val="0"/>
                <w:sz w:val="24"/>
              </w:rPr>
            </w:pPr>
            <w:r>
              <w:rPr>
                <w:rFonts w:ascii="仿宋_GB2312" w:cs="宋体" w:hint="eastAsia"/>
                <w:kern w:val="0"/>
                <w:sz w:val="24"/>
              </w:rPr>
              <w:t>单位专业技术岗位情况</w:t>
            </w:r>
          </w:p>
        </w:tc>
        <w:tc>
          <w:tcPr>
            <w:tcW w:w="1800" w:type="dxa"/>
            <w:gridSpan w:val="3"/>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4"/>
              </w:rPr>
            </w:pPr>
            <w:r>
              <w:rPr>
                <w:rFonts w:ascii="仿宋_GB2312" w:cs="宋体" w:hint="eastAsia"/>
                <w:kern w:val="0"/>
                <w:sz w:val="24"/>
              </w:rPr>
              <w:t>单位名称</w:t>
            </w:r>
          </w:p>
        </w:tc>
        <w:tc>
          <w:tcPr>
            <w:tcW w:w="5920" w:type="dxa"/>
            <w:gridSpan w:val="6"/>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left"/>
              <w:rPr>
                <w:rFonts w:ascii="仿宋_GB2312" w:cs="宋体"/>
                <w:kern w:val="0"/>
                <w:sz w:val="24"/>
              </w:rPr>
            </w:pPr>
          </w:p>
        </w:tc>
      </w:tr>
      <w:tr w:rsidR="00CA5443">
        <w:trPr>
          <w:trHeight w:val="454"/>
          <w:jc w:val="center"/>
        </w:trPr>
        <w:tc>
          <w:tcPr>
            <w:tcW w:w="1212" w:type="dxa"/>
            <w:vMerge/>
            <w:tcBorders>
              <w:top w:val="single" w:sz="4" w:space="0" w:color="auto"/>
              <w:left w:val="single" w:sz="4" w:space="0" w:color="auto"/>
              <w:bottom w:val="single" w:sz="4" w:space="0" w:color="000000"/>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777" w:type="dxa"/>
            <w:vMerge w:val="restart"/>
            <w:tcBorders>
              <w:top w:val="nil"/>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岗位情况</w:t>
            </w:r>
          </w:p>
        </w:tc>
        <w:tc>
          <w:tcPr>
            <w:tcW w:w="1023" w:type="dxa"/>
            <w:gridSpan w:val="2"/>
            <w:tcBorders>
              <w:top w:val="nil"/>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i/>
                <w:iCs/>
                <w:kern w:val="0"/>
                <w:sz w:val="21"/>
                <w:szCs w:val="21"/>
              </w:rPr>
            </w:pPr>
            <w:r>
              <w:rPr>
                <w:rFonts w:ascii="仿宋_GB2312" w:cs="宋体" w:hint="eastAsia"/>
                <w:kern w:val="0"/>
                <w:sz w:val="21"/>
                <w:szCs w:val="21"/>
              </w:rPr>
              <w:t>等级</w:t>
            </w:r>
          </w:p>
        </w:tc>
        <w:tc>
          <w:tcPr>
            <w:tcW w:w="1023" w:type="dxa"/>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正高级</w:t>
            </w:r>
          </w:p>
        </w:tc>
        <w:tc>
          <w:tcPr>
            <w:tcW w:w="1022" w:type="dxa"/>
            <w:gridSpan w:val="2"/>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副高级</w:t>
            </w:r>
          </w:p>
        </w:tc>
        <w:tc>
          <w:tcPr>
            <w:tcW w:w="982" w:type="dxa"/>
            <w:tcBorders>
              <w:top w:val="nil"/>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中级</w:t>
            </w:r>
          </w:p>
        </w:tc>
        <w:tc>
          <w:tcPr>
            <w:tcW w:w="2893" w:type="dxa"/>
            <w:gridSpan w:val="2"/>
            <w:tcBorders>
              <w:top w:val="nil"/>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备注</w:t>
            </w:r>
          </w:p>
        </w:tc>
      </w:tr>
      <w:tr w:rsidR="00CA5443">
        <w:trPr>
          <w:trHeight w:val="454"/>
          <w:jc w:val="center"/>
        </w:trPr>
        <w:tc>
          <w:tcPr>
            <w:tcW w:w="1212" w:type="dxa"/>
            <w:vMerge/>
            <w:tcBorders>
              <w:top w:val="single" w:sz="4" w:space="0" w:color="auto"/>
              <w:left w:val="single" w:sz="4" w:space="0" w:color="auto"/>
              <w:bottom w:val="single" w:sz="4" w:space="0" w:color="000000"/>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777" w:type="dxa"/>
            <w:vMerge/>
            <w:tcBorders>
              <w:top w:val="nil"/>
              <w:left w:val="nil"/>
              <w:bottom w:val="single" w:sz="4" w:space="0" w:color="auto"/>
              <w:right w:val="single" w:sz="4" w:space="0" w:color="auto"/>
            </w:tcBorders>
            <w:noWrap/>
            <w:vAlign w:val="center"/>
          </w:tcPr>
          <w:p w:rsidR="00CA5443" w:rsidRDefault="00CA5443">
            <w:pPr>
              <w:widowControl/>
              <w:jc w:val="left"/>
              <w:rPr>
                <w:rFonts w:ascii="仿宋_GB2312" w:cs="宋体"/>
                <w:kern w:val="0"/>
                <w:sz w:val="21"/>
                <w:szCs w:val="21"/>
              </w:rPr>
            </w:pPr>
          </w:p>
        </w:tc>
        <w:tc>
          <w:tcPr>
            <w:tcW w:w="1023" w:type="dxa"/>
            <w:gridSpan w:val="2"/>
            <w:tcBorders>
              <w:top w:val="nil"/>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核准数</w:t>
            </w:r>
          </w:p>
        </w:tc>
        <w:tc>
          <w:tcPr>
            <w:tcW w:w="1023" w:type="dxa"/>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102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982" w:type="dxa"/>
            <w:tcBorders>
              <w:top w:val="nil"/>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893" w:type="dxa"/>
            <w:gridSpan w:val="2"/>
            <w:tcBorders>
              <w:top w:val="nil"/>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454"/>
          <w:jc w:val="center"/>
        </w:trPr>
        <w:tc>
          <w:tcPr>
            <w:tcW w:w="1212" w:type="dxa"/>
            <w:vMerge/>
            <w:tcBorders>
              <w:top w:val="single" w:sz="4" w:space="0" w:color="auto"/>
              <w:left w:val="single" w:sz="4" w:space="0" w:color="auto"/>
              <w:bottom w:val="single" w:sz="4" w:space="0" w:color="000000"/>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777" w:type="dxa"/>
            <w:vMerge/>
            <w:tcBorders>
              <w:top w:val="nil"/>
              <w:left w:val="nil"/>
              <w:bottom w:val="single" w:sz="4" w:space="0" w:color="auto"/>
              <w:right w:val="single" w:sz="4" w:space="0" w:color="auto"/>
            </w:tcBorders>
            <w:noWrap/>
            <w:vAlign w:val="center"/>
          </w:tcPr>
          <w:p w:rsidR="00CA5443" w:rsidRDefault="00CA5443">
            <w:pPr>
              <w:widowControl/>
              <w:jc w:val="left"/>
              <w:rPr>
                <w:rFonts w:ascii="仿宋_GB2312" w:cs="宋体"/>
                <w:kern w:val="0"/>
                <w:sz w:val="21"/>
                <w:szCs w:val="21"/>
              </w:rPr>
            </w:pPr>
          </w:p>
        </w:tc>
        <w:tc>
          <w:tcPr>
            <w:tcW w:w="1023" w:type="dxa"/>
            <w:gridSpan w:val="2"/>
            <w:tcBorders>
              <w:top w:val="nil"/>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实聘数</w:t>
            </w:r>
          </w:p>
        </w:tc>
        <w:tc>
          <w:tcPr>
            <w:tcW w:w="1023" w:type="dxa"/>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102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982" w:type="dxa"/>
            <w:tcBorders>
              <w:top w:val="nil"/>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893" w:type="dxa"/>
            <w:gridSpan w:val="2"/>
            <w:tcBorders>
              <w:top w:val="nil"/>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454"/>
          <w:jc w:val="center"/>
        </w:trPr>
        <w:tc>
          <w:tcPr>
            <w:tcW w:w="1212" w:type="dxa"/>
            <w:vMerge/>
            <w:tcBorders>
              <w:top w:val="single" w:sz="4" w:space="0" w:color="auto"/>
              <w:left w:val="single" w:sz="4" w:space="0" w:color="auto"/>
              <w:bottom w:val="single" w:sz="4" w:space="0" w:color="000000"/>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777" w:type="dxa"/>
            <w:vMerge/>
            <w:tcBorders>
              <w:top w:val="nil"/>
              <w:left w:val="nil"/>
              <w:bottom w:val="single" w:sz="4" w:space="0" w:color="auto"/>
              <w:right w:val="single" w:sz="4" w:space="0" w:color="auto"/>
            </w:tcBorders>
            <w:noWrap/>
            <w:vAlign w:val="center"/>
          </w:tcPr>
          <w:p w:rsidR="00CA5443" w:rsidRDefault="00CA5443">
            <w:pPr>
              <w:widowControl/>
              <w:jc w:val="left"/>
              <w:rPr>
                <w:rFonts w:ascii="仿宋_GB2312" w:cs="宋体"/>
                <w:kern w:val="0"/>
                <w:sz w:val="21"/>
                <w:szCs w:val="21"/>
              </w:rPr>
            </w:pPr>
          </w:p>
        </w:tc>
        <w:tc>
          <w:tcPr>
            <w:tcW w:w="1023" w:type="dxa"/>
            <w:gridSpan w:val="2"/>
            <w:tcBorders>
              <w:top w:val="nil"/>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空缺数</w:t>
            </w:r>
          </w:p>
        </w:tc>
        <w:tc>
          <w:tcPr>
            <w:tcW w:w="1023" w:type="dxa"/>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102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982" w:type="dxa"/>
            <w:tcBorders>
              <w:top w:val="nil"/>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893" w:type="dxa"/>
            <w:gridSpan w:val="2"/>
            <w:tcBorders>
              <w:top w:val="nil"/>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1272"/>
          <w:jc w:val="center"/>
        </w:trPr>
        <w:tc>
          <w:tcPr>
            <w:tcW w:w="1212" w:type="dxa"/>
            <w:vMerge w:val="restart"/>
            <w:tcBorders>
              <w:top w:val="nil"/>
              <w:left w:val="single" w:sz="4" w:space="0" w:color="auto"/>
              <w:right w:val="single" w:sz="4" w:space="0" w:color="auto"/>
            </w:tcBorders>
            <w:noWrap/>
            <w:vAlign w:val="center"/>
          </w:tcPr>
          <w:p w:rsidR="00CA5443" w:rsidRDefault="007C40C1">
            <w:pPr>
              <w:widowControl/>
              <w:spacing w:line="400" w:lineRule="exact"/>
              <w:jc w:val="center"/>
              <w:rPr>
                <w:rFonts w:ascii="仿宋_GB2312" w:cs="宋体"/>
                <w:kern w:val="0"/>
                <w:sz w:val="24"/>
              </w:rPr>
            </w:pPr>
            <w:r>
              <w:rPr>
                <w:rFonts w:ascii="仿宋_GB2312" w:cs="宋体" w:hint="eastAsia"/>
                <w:kern w:val="0"/>
                <w:sz w:val="24"/>
              </w:rPr>
              <w:t>单位专业技术岗位竞聘结果</w:t>
            </w:r>
          </w:p>
        </w:tc>
        <w:tc>
          <w:tcPr>
            <w:tcW w:w="7720" w:type="dxa"/>
            <w:gridSpan w:val="9"/>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ind w:firstLine="482"/>
              <w:jc w:val="left"/>
              <w:rPr>
                <w:rFonts w:ascii="仿宋_GB2312" w:cs="宋体"/>
                <w:kern w:val="0"/>
                <w:sz w:val="21"/>
                <w:szCs w:val="21"/>
              </w:rPr>
            </w:pPr>
            <w:r>
              <w:rPr>
                <w:rFonts w:ascii="仿宋_GB2312" w:cs="宋体" w:hint="eastAsia"/>
                <w:kern w:val="0"/>
                <w:sz w:val="24"/>
              </w:rPr>
              <w:t>今年全年本单位共新推出个空缺中级专业技术岗位用于晋升中级职务任职资格人员（</w:t>
            </w:r>
            <w:proofErr w:type="gramStart"/>
            <w:r>
              <w:rPr>
                <w:rFonts w:ascii="仿宋_GB2312" w:cs="宋体" w:hint="eastAsia"/>
                <w:kern w:val="0"/>
                <w:sz w:val="24"/>
              </w:rPr>
              <w:t>含使用</w:t>
            </w:r>
            <w:proofErr w:type="gramEnd"/>
            <w:r>
              <w:rPr>
                <w:rFonts w:ascii="仿宋_GB2312" w:cs="宋体" w:hint="eastAsia"/>
                <w:kern w:val="0"/>
                <w:sz w:val="24"/>
              </w:rPr>
              <w:t>空缺岗位的转评人员）竞聘。经考核竞聘，同意</w:t>
            </w:r>
            <w:r>
              <w:rPr>
                <w:rFonts w:ascii="仿宋_GB2312" w:cs="宋体" w:hint="eastAsia"/>
                <w:kern w:val="0"/>
                <w:sz w:val="24"/>
              </w:rPr>
              <w:t xml:space="preserve">   </w:t>
            </w:r>
            <w:r>
              <w:rPr>
                <w:rFonts w:ascii="仿宋_GB2312" w:cs="宋体" w:hint="eastAsia"/>
                <w:kern w:val="0"/>
                <w:sz w:val="24"/>
              </w:rPr>
              <w:t>人参加中级评审，</w:t>
            </w:r>
            <w:r>
              <w:rPr>
                <w:rFonts w:ascii="仿宋_GB2312" w:cs="宋体" w:hint="eastAsia"/>
                <w:kern w:val="0"/>
                <w:sz w:val="24"/>
              </w:rPr>
              <w:t xml:space="preserve">   </w:t>
            </w:r>
            <w:r>
              <w:rPr>
                <w:rFonts w:ascii="仿宋_GB2312" w:cs="宋体" w:hint="eastAsia"/>
                <w:kern w:val="0"/>
                <w:sz w:val="24"/>
              </w:rPr>
              <w:t>人申报中级初定，并承诺在取得资格后，按规定及时聘任，聘任后，本单位共使用中级岗位</w:t>
            </w:r>
            <w:r>
              <w:rPr>
                <w:rFonts w:ascii="仿宋_GB2312" w:cs="宋体" w:hint="eastAsia"/>
                <w:kern w:val="0"/>
                <w:sz w:val="24"/>
              </w:rPr>
              <w:t xml:space="preserve">   </w:t>
            </w:r>
            <w:proofErr w:type="gramStart"/>
            <w:r>
              <w:rPr>
                <w:rFonts w:ascii="仿宋_GB2312" w:cs="宋体" w:hint="eastAsia"/>
                <w:kern w:val="0"/>
                <w:sz w:val="24"/>
              </w:rPr>
              <w:t>个</w:t>
            </w:r>
            <w:proofErr w:type="gramEnd"/>
            <w:r>
              <w:rPr>
                <w:rFonts w:ascii="仿宋_GB2312" w:cs="宋体" w:hint="eastAsia"/>
                <w:kern w:val="0"/>
                <w:sz w:val="24"/>
              </w:rPr>
              <w:t>。本单位全年推荐中级评审和初定的全部人员名单如下（名单列表可按需同规格添加）：</w:t>
            </w:r>
          </w:p>
        </w:tc>
      </w:tr>
      <w:tr w:rsidR="00CA5443">
        <w:trPr>
          <w:trHeight w:val="454"/>
          <w:jc w:val="center"/>
        </w:trPr>
        <w:tc>
          <w:tcPr>
            <w:tcW w:w="1212" w:type="dxa"/>
            <w:vMerge/>
            <w:tcBorders>
              <w:left w:val="single" w:sz="4" w:space="0" w:color="auto"/>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姓名</w:t>
            </w:r>
          </w:p>
        </w:tc>
        <w:tc>
          <w:tcPr>
            <w:tcW w:w="2332" w:type="dxa"/>
            <w:gridSpan w:val="3"/>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身份证号码</w:t>
            </w:r>
          </w:p>
        </w:tc>
        <w:tc>
          <w:tcPr>
            <w:tcW w:w="1568" w:type="dxa"/>
            <w:gridSpan w:val="3"/>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现有专业技术职务任职资格</w:t>
            </w:r>
          </w:p>
        </w:tc>
        <w:tc>
          <w:tcPr>
            <w:tcW w:w="2688" w:type="dxa"/>
            <w:tcBorders>
              <w:top w:val="single" w:sz="4" w:space="0" w:color="auto"/>
              <w:left w:val="nil"/>
              <w:bottom w:val="single" w:sz="4" w:space="0" w:color="auto"/>
              <w:right w:val="single" w:sz="4" w:space="0" w:color="auto"/>
            </w:tcBorders>
            <w:noWrap/>
            <w:vAlign w:val="center"/>
          </w:tcPr>
          <w:p w:rsidR="00CA5443" w:rsidRDefault="007C40C1">
            <w:pPr>
              <w:widowControl/>
              <w:spacing w:line="280" w:lineRule="exact"/>
              <w:jc w:val="center"/>
              <w:rPr>
                <w:rFonts w:ascii="仿宋_GB2312" w:cs="宋体"/>
                <w:kern w:val="0"/>
                <w:sz w:val="21"/>
                <w:szCs w:val="21"/>
              </w:rPr>
            </w:pPr>
            <w:r>
              <w:rPr>
                <w:rFonts w:ascii="仿宋_GB2312" w:cs="宋体" w:hint="eastAsia"/>
                <w:kern w:val="0"/>
                <w:sz w:val="21"/>
                <w:szCs w:val="21"/>
              </w:rPr>
              <w:t>拟聘专业技术岗位等级</w:t>
            </w:r>
          </w:p>
        </w:tc>
      </w:tr>
      <w:tr w:rsidR="00CA5443">
        <w:trPr>
          <w:trHeight w:val="454"/>
          <w:jc w:val="center"/>
        </w:trPr>
        <w:tc>
          <w:tcPr>
            <w:tcW w:w="1212" w:type="dxa"/>
            <w:vMerge/>
            <w:tcBorders>
              <w:left w:val="single" w:sz="4" w:space="0" w:color="auto"/>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332" w:type="dxa"/>
            <w:gridSpan w:val="3"/>
            <w:tcBorders>
              <w:top w:val="single" w:sz="4" w:space="0" w:color="auto"/>
              <w:left w:val="nil"/>
              <w:bottom w:val="single" w:sz="4" w:space="0" w:color="auto"/>
              <w:right w:val="single" w:sz="4" w:space="0" w:color="000000"/>
            </w:tcBorders>
            <w:noWrap/>
            <w:vAlign w:val="center"/>
          </w:tcPr>
          <w:p w:rsidR="00CA5443" w:rsidRDefault="00CA5443">
            <w:pPr>
              <w:widowControl/>
              <w:spacing w:line="280" w:lineRule="exact"/>
              <w:jc w:val="center"/>
              <w:rPr>
                <w:rFonts w:ascii="宋体" w:eastAsia="宋体" w:hAnsi="宋体"/>
                <w:kern w:val="0"/>
                <w:sz w:val="21"/>
                <w:szCs w:val="21"/>
              </w:rPr>
            </w:pPr>
          </w:p>
        </w:tc>
        <w:tc>
          <w:tcPr>
            <w:tcW w:w="1568" w:type="dxa"/>
            <w:gridSpan w:val="3"/>
            <w:tcBorders>
              <w:top w:val="single" w:sz="4" w:space="0" w:color="auto"/>
              <w:left w:val="nil"/>
              <w:bottom w:val="single" w:sz="4" w:space="0" w:color="auto"/>
              <w:right w:val="single" w:sz="4" w:space="0" w:color="000000"/>
            </w:tcBorders>
            <w:noWrap/>
            <w:vAlign w:val="center"/>
          </w:tcPr>
          <w:p w:rsidR="00CA5443" w:rsidRDefault="00CA5443">
            <w:pPr>
              <w:widowControl/>
              <w:spacing w:line="280" w:lineRule="exact"/>
              <w:jc w:val="center"/>
              <w:rPr>
                <w:rFonts w:ascii="宋体" w:eastAsia="宋体" w:hAnsi="宋体"/>
                <w:kern w:val="0"/>
                <w:sz w:val="21"/>
                <w:szCs w:val="21"/>
              </w:rPr>
            </w:pPr>
          </w:p>
        </w:tc>
        <w:tc>
          <w:tcPr>
            <w:tcW w:w="2688" w:type="dxa"/>
            <w:tcBorders>
              <w:top w:val="single" w:sz="4" w:space="0" w:color="auto"/>
              <w:left w:val="nil"/>
              <w:bottom w:val="single" w:sz="4" w:space="0" w:color="auto"/>
              <w:right w:val="single" w:sz="4" w:space="0" w:color="000000"/>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454"/>
          <w:jc w:val="center"/>
        </w:trPr>
        <w:tc>
          <w:tcPr>
            <w:tcW w:w="1212" w:type="dxa"/>
            <w:vMerge/>
            <w:tcBorders>
              <w:left w:val="single" w:sz="4" w:space="0" w:color="auto"/>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332"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1568"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688" w:type="dxa"/>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454"/>
          <w:jc w:val="center"/>
        </w:trPr>
        <w:tc>
          <w:tcPr>
            <w:tcW w:w="1212" w:type="dxa"/>
            <w:vMerge/>
            <w:tcBorders>
              <w:left w:val="single" w:sz="4" w:space="0" w:color="auto"/>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332"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1568"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688" w:type="dxa"/>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454"/>
          <w:jc w:val="center"/>
        </w:trPr>
        <w:tc>
          <w:tcPr>
            <w:tcW w:w="1212" w:type="dxa"/>
            <w:vMerge/>
            <w:tcBorders>
              <w:left w:val="single" w:sz="4" w:space="0" w:color="auto"/>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332"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1568"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688" w:type="dxa"/>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454"/>
          <w:jc w:val="center"/>
        </w:trPr>
        <w:tc>
          <w:tcPr>
            <w:tcW w:w="1212" w:type="dxa"/>
            <w:vMerge/>
            <w:tcBorders>
              <w:left w:val="single" w:sz="4" w:space="0" w:color="auto"/>
              <w:right w:val="single" w:sz="4" w:space="0" w:color="auto"/>
            </w:tcBorders>
            <w:noWrap/>
            <w:vAlign w:val="center"/>
          </w:tcPr>
          <w:p w:rsidR="00CA5443" w:rsidRDefault="00CA5443">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332"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1568" w:type="dxa"/>
            <w:gridSpan w:val="3"/>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c>
          <w:tcPr>
            <w:tcW w:w="2688" w:type="dxa"/>
            <w:tcBorders>
              <w:top w:val="single" w:sz="4" w:space="0" w:color="auto"/>
              <w:left w:val="nil"/>
              <w:bottom w:val="single" w:sz="4" w:space="0" w:color="auto"/>
              <w:right w:val="single" w:sz="4" w:space="0" w:color="auto"/>
            </w:tcBorders>
            <w:noWrap/>
            <w:vAlign w:val="center"/>
          </w:tcPr>
          <w:p w:rsidR="00CA5443" w:rsidRDefault="00CA5443">
            <w:pPr>
              <w:widowControl/>
              <w:spacing w:line="280" w:lineRule="exact"/>
              <w:jc w:val="center"/>
              <w:rPr>
                <w:rFonts w:ascii="宋体" w:eastAsia="宋体" w:hAnsi="宋体"/>
                <w:kern w:val="0"/>
                <w:sz w:val="21"/>
                <w:szCs w:val="21"/>
              </w:rPr>
            </w:pPr>
          </w:p>
        </w:tc>
      </w:tr>
      <w:tr w:rsidR="00CA5443">
        <w:trPr>
          <w:trHeight w:val="2326"/>
          <w:jc w:val="center"/>
        </w:trPr>
        <w:tc>
          <w:tcPr>
            <w:tcW w:w="8932" w:type="dxa"/>
            <w:gridSpan w:val="10"/>
            <w:tcBorders>
              <w:top w:val="single" w:sz="4" w:space="0" w:color="auto"/>
              <w:left w:val="single" w:sz="4" w:space="0" w:color="auto"/>
              <w:bottom w:val="single" w:sz="4" w:space="0" w:color="auto"/>
              <w:right w:val="single" w:sz="4" w:space="0" w:color="auto"/>
            </w:tcBorders>
            <w:noWrap/>
            <w:vAlign w:val="center"/>
          </w:tcPr>
          <w:p w:rsidR="00CA5443" w:rsidRDefault="007C40C1">
            <w:pPr>
              <w:spacing w:line="280" w:lineRule="exact"/>
              <w:rPr>
                <w:rFonts w:ascii="仿宋_GB2312" w:cs="宋体"/>
                <w:kern w:val="0"/>
                <w:sz w:val="24"/>
              </w:rPr>
            </w:pPr>
            <w:r>
              <w:rPr>
                <w:rFonts w:ascii="仿宋_GB2312" w:cs="宋体" w:hint="eastAsia"/>
                <w:kern w:val="0"/>
                <w:sz w:val="24"/>
              </w:rPr>
              <w:t>（</w:t>
            </w:r>
            <w:r>
              <w:rPr>
                <w:rFonts w:ascii="仿宋_GB2312" w:cs="宋体" w:hint="eastAsia"/>
                <w:b/>
                <w:bCs/>
                <w:kern w:val="0"/>
                <w:sz w:val="24"/>
              </w:rPr>
              <w:t>注：当使用地区统筹岗位时，还需事业单位岗位统筹管理部门业务处室负责人签署意见并盖章。退三进二，退二进一等情况，也应说明。杭州市主管部门和人力社保部门在印发资格公布文件时，将进行事后监督核查。</w:t>
            </w:r>
            <w:r>
              <w:rPr>
                <w:rFonts w:ascii="仿宋_GB2312" w:cs="宋体" w:hint="eastAsia"/>
                <w:kern w:val="0"/>
                <w:sz w:val="24"/>
              </w:rPr>
              <w:t>）</w:t>
            </w:r>
          </w:p>
          <w:p w:rsidR="00CA5443" w:rsidRDefault="00CA5443">
            <w:pPr>
              <w:rPr>
                <w:rFonts w:ascii="仿宋_GB2312" w:cs="宋体"/>
                <w:kern w:val="0"/>
                <w:sz w:val="24"/>
              </w:rPr>
            </w:pPr>
          </w:p>
          <w:p w:rsidR="00CA5443" w:rsidRDefault="007C40C1">
            <w:pPr>
              <w:ind w:firstLine="480"/>
              <w:rPr>
                <w:rFonts w:ascii="仿宋_GB2312" w:cs="宋体"/>
                <w:kern w:val="0"/>
                <w:sz w:val="24"/>
              </w:rPr>
            </w:pPr>
            <w:r>
              <w:rPr>
                <w:rFonts w:ascii="仿宋_GB2312" w:cs="宋体" w:hint="eastAsia"/>
                <w:kern w:val="0"/>
                <w:sz w:val="24"/>
              </w:rPr>
              <w:t>单位负责岗位设置和竞聘的业务科（处）室负责人签字：</w:t>
            </w:r>
          </w:p>
          <w:p w:rsidR="00CA5443" w:rsidRDefault="007C40C1" w:rsidP="00954499">
            <w:pPr>
              <w:ind w:firstLineChars="2000" w:firstLine="4718"/>
              <w:rPr>
                <w:rFonts w:ascii="仿宋_GB2312" w:cs="宋体"/>
                <w:kern w:val="0"/>
                <w:sz w:val="24"/>
              </w:rPr>
            </w:pPr>
            <w:r>
              <w:rPr>
                <w:rFonts w:ascii="仿宋_GB2312" w:cs="宋体" w:hint="eastAsia"/>
                <w:kern w:val="0"/>
                <w:sz w:val="24"/>
              </w:rPr>
              <w:t>（盖章，两页以上加盖骑缝章）</w:t>
            </w:r>
          </w:p>
          <w:p w:rsidR="00CA5443" w:rsidRDefault="007C40C1" w:rsidP="00954499">
            <w:pPr>
              <w:ind w:firstLineChars="2600" w:firstLine="6133"/>
              <w:rPr>
                <w:rFonts w:ascii="仿宋_GB2312" w:cs="宋体"/>
                <w:kern w:val="0"/>
                <w:sz w:val="21"/>
                <w:szCs w:val="21"/>
              </w:rPr>
            </w:pPr>
            <w:r>
              <w:rPr>
                <w:rFonts w:ascii="仿宋_GB2312" w:cs="宋体" w:hint="eastAsia"/>
                <w:kern w:val="0"/>
                <w:sz w:val="24"/>
              </w:rPr>
              <w:t>年</w:t>
            </w:r>
            <w:r>
              <w:rPr>
                <w:rFonts w:ascii="仿宋_GB2312" w:cs="宋体" w:hint="eastAsia"/>
                <w:kern w:val="0"/>
                <w:sz w:val="24"/>
              </w:rPr>
              <w:t xml:space="preserve">  </w:t>
            </w:r>
            <w:r>
              <w:rPr>
                <w:rFonts w:ascii="仿宋_GB2312" w:cs="宋体" w:hint="eastAsia"/>
                <w:kern w:val="0"/>
                <w:sz w:val="24"/>
              </w:rPr>
              <w:t>月</w:t>
            </w:r>
            <w:r>
              <w:rPr>
                <w:rFonts w:ascii="仿宋_GB2312" w:cs="宋体" w:hint="eastAsia"/>
                <w:kern w:val="0"/>
                <w:sz w:val="24"/>
              </w:rPr>
              <w:t xml:space="preserve">  </w:t>
            </w:r>
            <w:r>
              <w:rPr>
                <w:rFonts w:ascii="仿宋_GB2312" w:cs="宋体" w:hint="eastAsia"/>
                <w:kern w:val="0"/>
                <w:sz w:val="24"/>
              </w:rPr>
              <w:t>日</w:t>
            </w:r>
          </w:p>
        </w:tc>
      </w:tr>
    </w:tbl>
    <w:p w:rsidR="00CA5443" w:rsidRDefault="007C40C1">
      <w:pPr>
        <w:rPr>
          <w:szCs w:val="28"/>
        </w:rPr>
      </w:pPr>
      <w:r>
        <w:rPr>
          <w:rFonts w:ascii="仿宋_GB2312" w:hint="eastAsia"/>
          <w:sz w:val="24"/>
        </w:rPr>
        <w:t>注：该表格为事业单位推荐在编人员参加中级职称评审时填写。有空缺岗位的，用正数表示。</w:t>
      </w:r>
    </w:p>
    <w:p w:rsidR="00CA5443" w:rsidRDefault="00CA5443">
      <w:pPr>
        <w:rPr>
          <w:rFonts w:ascii="仿宋" w:eastAsia="仿宋" w:hAnsi="仿宋"/>
        </w:rPr>
        <w:sectPr w:rsidR="00CA5443">
          <w:headerReference w:type="default" r:id="rId9"/>
          <w:footerReference w:type="default" r:id="rId10"/>
          <w:pgSz w:w="11907" w:h="16840"/>
          <w:pgMar w:top="2041" w:right="1531" w:bottom="2041" w:left="1531" w:header="851" w:footer="1644" w:gutter="0"/>
          <w:pgNumType w:fmt="numberInDash"/>
          <w:cols w:space="720"/>
          <w:titlePg/>
          <w:docGrid w:type="linesAndChars" w:linePitch="578" w:charSpace="-842"/>
        </w:sectPr>
      </w:pPr>
    </w:p>
    <w:p w:rsidR="00CA5443" w:rsidRDefault="007C40C1">
      <w:pPr>
        <w:rPr>
          <w:rFonts w:ascii="黑体" w:eastAsia="黑体" w:hAnsi="黑体"/>
          <w:szCs w:val="28"/>
        </w:rPr>
      </w:pPr>
      <w:r>
        <w:rPr>
          <w:rFonts w:ascii="黑体" w:eastAsia="黑体" w:hAnsi="黑体" w:hint="eastAsia"/>
          <w:szCs w:val="28"/>
        </w:rPr>
        <w:lastRenderedPageBreak/>
        <w:t>附件</w:t>
      </w:r>
      <w:r>
        <w:rPr>
          <w:rFonts w:ascii="黑体" w:eastAsia="黑体" w:hAnsi="黑体"/>
          <w:szCs w:val="28"/>
        </w:rPr>
        <w:t>7</w:t>
      </w:r>
    </w:p>
    <w:p w:rsidR="00CA5443" w:rsidRDefault="007C40C1">
      <w:pPr>
        <w:spacing w:line="560" w:lineRule="exact"/>
        <w:jc w:val="center"/>
        <w:rPr>
          <w:rFonts w:ascii="小标宋" w:eastAsia="小标宋" w:hAnsi="仿宋"/>
          <w:sz w:val="44"/>
          <w:szCs w:val="44"/>
        </w:rPr>
      </w:pPr>
      <w:r>
        <w:rPr>
          <w:rFonts w:ascii="小标宋" w:eastAsia="小标宋" w:hAnsi="仿宋" w:hint="eastAsia"/>
          <w:sz w:val="44"/>
          <w:szCs w:val="44"/>
        </w:rPr>
        <w:t>工程复杂程度一览表</w:t>
      </w:r>
    </w:p>
    <w:p w:rsidR="00CA5443" w:rsidRDefault="007C40C1">
      <w:pPr>
        <w:jc w:val="center"/>
        <w:rPr>
          <w:rFonts w:ascii="仿宋" w:eastAsia="仿宋" w:hAnsi="仿宋" w:cs="仿宋"/>
          <w:b/>
          <w:bCs/>
          <w:color w:val="000000"/>
          <w:kern w:val="0"/>
          <w:szCs w:val="32"/>
        </w:rPr>
      </w:pPr>
      <w:r>
        <w:rPr>
          <w:rFonts w:ascii="仿宋" w:eastAsia="仿宋" w:hAnsi="仿宋" w:cs="仿宋" w:hint="eastAsia"/>
          <w:b/>
          <w:bCs/>
          <w:color w:val="000000"/>
          <w:kern w:val="0"/>
          <w:szCs w:val="32"/>
        </w:rPr>
        <w:t>房屋建筑设计、工程施工与管理、监理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1215"/>
        <w:gridCol w:w="1770"/>
        <w:gridCol w:w="2895"/>
        <w:gridCol w:w="3495"/>
        <w:gridCol w:w="2902"/>
      </w:tblGrid>
      <w:tr w:rsidR="00CA5443">
        <w:trPr>
          <w:trHeight w:val="90"/>
          <w:jc w:val="center"/>
        </w:trPr>
        <w:tc>
          <w:tcPr>
            <w:tcW w:w="1610"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类别</w:t>
            </w: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子项</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复杂工程</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中等复杂工程</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一般工程</w:t>
            </w:r>
          </w:p>
        </w:tc>
      </w:tr>
      <w:tr w:rsidR="00CA5443">
        <w:trPr>
          <w:trHeight w:val="90"/>
          <w:jc w:val="center"/>
        </w:trPr>
        <w:tc>
          <w:tcPr>
            <w:tcW w:w="1610" w:type="dxa"/>
            <w:vMerge w:val="restart"/>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公共建筑</w:t>
            </w:r>
          </w:p>
        </w:tc>
        <w:tc>
          <w:tcPr>
            <w:tcW w:w="1215" w:type="dxa"/>
            <w:vMerge w:val="restart"/>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面积</w:t>
            </w:r>
          </w:p>
        </w:tc>
        <w:tc>
          <w:tcPr>
            <w:tcW w:w="1770"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一般建筑</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&gt;20000m</w:t>
            </w:r>
            <w:r>
              <w:rPr>
                <w:rFonts w:ascii="仿宋" w:eastAsia="仿宋" w:hAnsi="仿宋" w:cs="仿宋" w:hint="eastAsia"/>
                <w:sz w:val="28"/>
                <w:szCs w:val="28"/>
                <w:vertAlign w:val="superscript"/>
              </w:rPr>
              <w:t>2</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5000-20000 m</w:t>
            </w:r>
            <w:r>
              <w:rPr>
                <w:rFonts w:ascii="仿宋" w:eastAsia="仿宋" w:hAnsi="仿宋" w:cs="仿宋" w:hint="eastAsia"/>
                <w:sz w:val="28"/>
                <w:szCs w:val="28"/>
                <w:vertAlign w:val="superscript"/>
              </w:rPr>
              <w:t>2</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&lt;5000m</w:t>
            </w:r>
            <w:r>
              <w:rPr>
                <w:rFonts w:ascii="仿宋" w:eastAsia="仿宋" w:hAnsi="仿宋" w:cs="仿宋" w:hint="eastAsia"/>
                <w:sz w:val="28"/>
                <w:szCs w:val="28"/>
                <w:vertAlign w:val="superscript"/>
              </w:rPr>
              <w:t>2</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1215" w:type="dxa"/>
            <w:vMerge/>
            <w:vAlign w:val="center"/>
          </w:tcPr>
          <w:p w:rsidR="00CA5443" w:rsidRDefault="00CA5443">
            <w:pPr>
              <w:jc w:val="center"/>
              <w:rPr>
                <w:rFonts w:ascii="仿宋" w:eastAsia="仿宋" w:hAnsi="仿宋" w:cs="仿宋"/>
                <w:sz w:val="28"/>
                <w:szCs w:val="28"/>
              </w:rPr>
            </w:pPr>
          </w:p>
        </w:tc>
        <w:tc>
          <w:tcPr>
            <w:tcW w:w="1770"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特殊建筑</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&gt;5000 m</w:t>
            </w:r>
            <w:r>
              <w:rPr>
                <w:rFonts w:ascii="仿宋" w:eastAsia="仿宋" w:hAnsi="仿宋" w:cs="仿宋" w:hint="eastAsia"/>
                <w:sz w:val="28"/>
                <w:szCs w:val="28"/>
                <w:vertAlign w:val="superscript"/>
              </w:rPr>
              <w:t>2</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1000-5000 m</w:t>
            </w:r>
            <w:r>
              <w:rPr>
                <w:rFonts w:ascii="仿宋" w:eastAsia="仿宋" w:hAnsi="仿宋" w:cs="仿宋" w:hint="eastAsia"/>
                <w:sz w:val="28"/>
                <w:szCs w:val="28"/>
                <w:vertAlign w:val="superscript"/>
              </w:rPr>
              <w:t>2</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&lt;1000 m</w:t>
            </w:r>
            <w:r>
              <w:rPr>
                <w:rFonts w:ascii="仿宋" w:eastAsia="仿宋" w:hAnsi="仿宋" w:cs="仿宋" w:hint="eastAsia"/>
                <w:sz w:val="28"/>
                <w:szCs w:val="28"/>
                <w:vertAlign w:val="superscript"/>
              </w:rPr>
              <w:t>2</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高度</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&gt;50m</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24-50m</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&lt;24 m</w:t>
            </w:r>
          </w:p>
        </w:tc>
      </w:tr>
      <w:tr w:rsidR="00CA5443">
        <w:trPr>
          <w:trHeight w:val="90"/>
          <w:jc w:val="center"/>
        </w:trPr>
        <w:tc>
          <w:tcPr>
            <w:tcW w:w="1610"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住宅建筑</w:t>
            </w: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层数</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&gt;20</w:t>
            </w:r>
            <w:r>
              <w:rPr>
                <w:rFonts w:ascii="仿宋" w:eastAsia="仿宋" w:hAnsi="仿宋" w:cs="仿宋" w:hint="eastAsia"/>
                <w:sz w:val="28"/>
                <w:szCs w:val="28"/>
              </w:rPr>
              <w:t>层</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12-20</w:t>
            </w:r>
            <w:r>
              <w:rPr>
                <w:rFonts w:ascii="仿宋" w:eastAsia="仿宋" w:hAnsi="仿宋" w:cs="仿宋" w:hint="eastAsia"/>
                <w:sz w:val="28"/>
                <w:szCs w:val="28"/>
              </w:rPr>
              <w:t>层</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&lt;12</w:t>
            </w:r>
            <w:r>
              <w:rPr>
                <w:rFonts w:ascii="仿宋" w:eastAsia="仿宋" w:hAnsi="仿宋" w:cs="仿宋" w:hint="eastAsia"/>
                <w:sz w:val="28"/>
                <w:szCs w:val="28"/>
              </w:rPr>
              <w:t>层</w:t>
            </w:r>
          </w:p>
        </w:tc>
      </w:tr>
      <w:tr w:rsidR="00CA5443">
        <w:trPr>
          <w:trHeight w:val="90"/>
          <w:jc w:val="center"/>
        </w:trPr>
        <w:tc>
          <w:tcPr>
            <w:tcW w:w="1610" w:type="dxa"/>
            <w:vMerge w:val="restart"/>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工业厂房</w:t>
            </w: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跨度</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&gt;30 m</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24-30m</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&lt;24m</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吊车吨位</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&gt;30</w:t>
            </w:r>
            <w:r>
              <w:rPr>
                <w:rFonts w:ascii="仿宋" w:eastAsia="仿宋" w:hAnsi="仿宋" w:cs="仿宋" w:hint="eastAsia"/>
                <w:sz w:val="28"/>
                <w:szCs w:val="28"/>
              </w:rPr>
              <w:t>吨</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10-30</w:t>
            </w:r>
            <w:r>
              <w:rPr>
                <w:rFonts w:ascii="仿宋" w:eastAsia="仿宋" w:hAnsi="仿宋" w:cs="仿宋" w:hint="eastAsia"/>
                <w:sz w:val="28"/>
                <w:szCs w:val="28"/>
              </w:rPr>
              <w:t>吨</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&lt;10</w:t>
            </w:r>
            <w:r>
              <w:rPr>
                <w:rFonts w:ascii="仿宋" w:eastAsia="仿宋" w:hAnsi="仿宋" w:cs="仿宋" w:hint="eastAsia"/>
                <w:sz w:val="28"/>
                <w:szCs w:val="28"/>
              </w:rPr>
              <w:t>吨</w:t>
            </w:r>
          </w:p>
        </w:tc>
      </w:tr>
      <w:tr w:rsidR="00CA5443">
        <w:trPr>
          <w:trHeight w:val="90"/>
          <w:jc w:val="center"/>
        </w:trPr>
        <w:tc>
          <w:tcPr>
            <w:tcW w:w="1610" w:type="dxa"/>
            <w:vMerge w:val="restart"/>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人防专项</w:t>
            </w: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防护级别</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四级以上</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五级及以下</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无级及配套</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面积</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&gt;10000 m</w:t>
            </w:r>
            <w:r>
              <w:rPr>
                <w:rFonts w:ascii="仿宋" w:eastAsia="仿宋" w:hAnsi="仿宋" w:cs="仿宋" w:hint="eastAsia"/>
                <w:sz w:val="28"/>
                <w:szCs w:val="28"/>
                <w:vertAlign w:val="superscript"/>
              </w:rPr>
              <w:t>2</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2000-10000 m</w:t>
            </w:r>
            <w:r>
              <w:rPr>
                <w:rFonts w:ascii="仿宋" w:eastAsia="仿宋" w:hAnsi="仿宋" w:cs="仿宋" w:hint="eastAsia"/>
                <w:sz w:val="28"/>
                <w:szCs w:val="28"/>
                <w:vertAlign w:val="superscript"/>
              </w:rPr>
              <w:t>2</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&lt;2000 m</w:t>
            </w:r>
            <w:r>
              <w:rPr>
                <w:rFonts w:ascii="仿宋" w:eastAsia="仿宋" w:hAnsi="仿宋" w:cs="仿宋" w:hint="eastAsia"/>
                <w:sz w:val="28"/>
                <w:szCs w:val="28"/>
                <w:vertAlign w:val="superscript"/>
              </w:rPr>
              <w:t>2</w:t>
            </w:r>
          </w:p>
        </w:tc>
      </w:tr>
      <w:tr w:rsidR="00CA5443">
        <w:trPr>
          <w:trHeight w:val="90"/>
          <w:jc w:val="center"/>
        </w:trPr>
        <w:tc>
          <w:tcPr>
            <w:tcW w:w="1610"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基坑专项</w:t>
            </w: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深度</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&gt;12m</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5-12m</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&lt;5m</w:t>
            </w:r>
          </w:p>
        </w:tc>
      </w:tr>
      <w:tr w:rsidR="00CA5443">
        <w:trPr>
          <w:trHeight w:val="90"/>
          <w:jc w:val="center"/>
        </w:trPr>
        <w:tc>
          <w:tcPr>
            <w:tcW w:w="1610"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装修专项</w:t>
            </w:r>
          </w:p>
        </w:tc>
        <w:tc>
          <w:tcPr>
            <w:tcW w:w="2985" w:type="dxa"/>
            <w:gridSpan w:val="2"/>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等级</w:t>
            </w:r>
          </w:p>
        </w:tc>
        <w:tc>
          <w:tcPr>
            <w:tcW w:w="28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相当四、五星级宾馆</w:t>
            </w:r>
          </w:p>
        </w:tc>
        <w:tc>
          <w:tcPr>
            <w:tcW w:w="3495"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相当二、三星级宾馆</w:t>
            </w:r>
          </w:p>
        </w:tc>
        <w:tc>
          <w:tcPr>
            <w:tcW w:w="2902" w:type="dxa"/>
            <w:vAlign w:val="center"/>
          </w:tcPr>
          <w:p w:rsidR="00CA5443" w:rsidRDefault="007C40C1">
            <w:pPr>
              <w:jc w:val="center"/>
              <w:rPr>
                <w:rFonts w:ascii="仿宋" w:eastAsia="仿宋" w:hAnsi="仿宋" w:cs="仿宋"/>
                <w:sz w:val="28"/>
                <w:szCs w:val="28"/>
              </w:rPr>
            </w:pPr>
            <w:r>
              <w:rPr>
                <w:rFonts w:ascii="仿宋" w:eastAsia="仿宋" w:hAnsi="仿宋" w:cs="仿宋" w:hint="eastAsia"/>
                <w:sz w:val="28"/>
                <w:szCs w:val="28"/>
              </w:rPr>
              <w:t>相当</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星级以下宾馆</w:t>
            </w:r>
          </w:p>
        </w:tc>
      </w:tr>
    </w:tbl>
    <w:p w:rsidR="00CA5443" w:rsidRDefault="00CA5443">
      <w:pPr>
        <w:ind w:firstLineChars="200" w:firstLine="640"/>
        <w:rPr>
          <w:rFonts w:ascii="仿宋" w:eastAsia="仿宋" w:hAnsi="仿宋" w:cs="仿宋"/>
          <w:bCs/>
          <w:szCs w:val="32"/>
        </w:rPr>
        <w:sectPr w:rsidR="00CA5443">
          <w:headerReference w:type="default" r:id="rId11"/>
          <w:footerReference w:type="default" r:id="rId12"/>
          <w:pgSz w:w="16838" w:h="11906" w:orient="landscape"/>
          <w:pgMar w:top="720" w:right="720" w:bottom="720" w:left="720" w:header="851" w:footer="992" w:gutter="0"/>
          <w:cols w:space="720"/>
          <w:docGrid w:type="lines" w:linePitch="312"/>
        </w:sectPr>
      </w:pPr>
    </w:p>
    <w:p w:rsidR="00CA5443" w:rsidRDefault="007C40C1">
      <w:pPr>
        <w:pStyle w:val="a8"/>
        <w:ind w:firstLineChars="0" w:firstLine="0"/>
        <w:jc w:val="center"/>
        <w:rPr>
          <w:rFonts w:ascii="仿宋" w:eastAsia="仿宋" w:hAnsi="仿宋" w:cs="仿宋"/>
          <w:b/>
          <w:szCs w:val="32"/>
        </w:rPr>
      </w:pPr>
      <w:r>
        <w:rPr>
          <w:rFonts w:ascii="仿宋" w:eastAsia="仿宋" w:hAnsi="仿宋" w:cs="仿宋" w:hint="eastAsia"/>
          <w:b/>
          <w:szCs w:val="32"/>
        </w:rPr>
        <w:t>市政基础设施工程施工与管理（含园林绿化工程、给排水工程）</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68"/>
        <w:gridCol w:w="1699"/>
        <w:gridCol w:w="1644"/>
        <w:gridCol w:w="4932"/>
        <w:gridCol w:w="3634"/>
        <w:gridCol w:w="2098"/>
      </w:tblGrid>
      <w:tr w:rsidR="00CA5443">
        <w:trPr>
          <w:trHeight w:val="286"/>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专业</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子项</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复杂工程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中等复杂工程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一般工程</w:t>
            </w:r>
          </w:p>
        </w:tc>
      </w:tr>
      <w:tr w:rsidR="00CA5443">
        <w:trPr>
          <w:trHeight w:val="227"/>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市政基础设施工程施工与管理</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普遍条件</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3000</w:t>
            </w:r>
            <w:r>
              <w:rPr>
                <w:rFonts w:ascii="仿宋" w:eastAsia="仿宋" w:hAnsi="仿宋" w:cs="仿宋" w:hint="eastAsia"/>
                <w:color w:val="000000"/>
                <w:kern w:val="0"/>
                <w:sz w:val="24"/>
              </w:rPr>
              <w:t>万元及以上；（钱江杯）</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1000</w:t>
            </w:r>
            <w:r>
              <w:rPr>
                <w:rFonts w:ascii="仿宋" w:eastAsia="仿宋" w:hAnsi="仿宋" w:cs="仿宋" w:hint="eastAsia"/>
                <w:color w:val="000000"/>
                <w:kern w:val="0"/>
                <w:sz w:val="24"/>
              </w:rPr>
              <w:t>万元及以上，</w:t>
            </w:r>
            <w:r>
              <w:rPr>
                <w:rFonts w:ascii="仿宋" w:eastAsia="仿宋" w:hAnsi="仿宋" w:cs="仿宋" w:hint="eastAsia"/>
                <w:color w:val="000000"/>
                <w:kern w:val="0"/>
                <w:sz w:val="24"/>
              </w:rPr>
              <w:t>3000</w:t>
            </w:r>
            <w:r>
              <w:rPr>
                <w:rFonts w:ascii="仿宋" w:eastAsia="仿宋" w:hAnsi="仿宋" w:cs="仿宋" w:hint="eastAsia"/>
                <w:color w:val="000000"/>
                <w:kern w:val="0"/>
                <w:sz w:val="24"/>
              </w:rPr>
              <w:t>万元以下；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1000</w:t>
            </w:r>
            <w:r>
              <w:rPr>
                <w:rFonts w:ascii="仿宋" w:eastAsia="仿宋" w:hAnsi="仿宋" w:cs="仿宋" w:hint="eastAsia"/>
                <w:color w:val="000000"/>
                <w:kern w:val="0"/>
                <w:sz w:val="24"/>
              </w:rPr>
              <w:t>万元以下；（西湖杯）</w:t>
            </w:r>
          </w:p>
        </w:tc>
      </w:tr>
      <w:tr w:rsidR="00CA5443">
        <w:trPr>
          <w:trHeight w:val="2039"/>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道路桥梁工程</w:t>
            </w: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不同专业的额外条件</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，水深＞</w:t>
            </w:r>
            <w:r>
              <w:rPr>
                <w:rFonts w:ascii="仿宋" w:eastAsia="仿宋" w:hAnsi="仿宋" w:cs="仿宋" w:hint="eastAsia"/>
                <w:color w:val="000000"/>
                <w:kern w:val="0"/>
                <w:sz w:val="22"/>
                <w:szCs w:val="22"/>
              </w:rPr>
              <w:t>15m</w:t>
            </w:r>
            <w:r>
              <w:rPr>
                <w:rFonts w:ascii="仿宋" w:eastAsia="仿宋" w:hAnsi="仿宋" w:cs="仿宋" w:hint="eastAsia"/>
                <w:color w:val="000000"/>
                <w:kern w:val="0"/>
                <w:sz w:val="22"/>
                <w:szCs w:val="22"/>
              </w:rPr>
              <w:t>，单孔跨径为＞</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的预应力混凝土连续结构和钢筋混凝土拱桥，跨度</w:t>
            </w:r>
            <w:r>
              <w:rPr>
                <w:rFonts w:ascii="仿宋" w:eastAsia="仿宋" w:hAnsi="仿宋" w:cs="仿宋" w:hint="eastAsia"/>
                <w:color w:val="000000"/>
                <w:kern w:val="0"/>
                <w:sz w:val="22"/>
                <w:szCs w:val="22"/>
              </w:rPr>
              <w:t>400~1000m</w:t>
            </w:r>
            <w:r>
              <w:rPr>
                <w:rFonts w:ascii="仿宋" w:eastAsia="仿宋" w:hAnsi="仿宋" w:cs="仿宋" w:hint="eastAsia"/>
                <w:color w:val="000000"/>
                <w:kern w:val="0"/>
                <w:sz w:val="22"/>
                <w:szCs w:val="22"/>
              </w:rPr>
              <w:t>的斜拉桥、</w:t>
            </w:r>
            <w:r>
              <w:rPr>
                <w:rFonts w:ascii="仿宋" w:eastAsia="仿宋" w:hAnsi="仿宋" w:cs="仿宋" w:hint="eastAsia"/>
                <w:color w:val="000000"/>
                <w:kern w:val="0"/>
                <w:sz w:val="22"/>
                <w:szCs w:val="22"/>
              </w:rPr>
              <w:t>800~1500m</w:t>
            </w:r>
            <w:r>
              <w:rPr>
                <w:rFonts w:ascii="仿宋" w:eastAsia="仿宋" w:hAnsi="仿宋" w:cs="仿宋" w:hint="eastAsia"/>
                <w:color w:val="000000"/>
                <w:kern w:val="0"/>
                <w:sz w:val="22"/>
                <w:szCs w:val="22"/>
              </w:rPr>
              <w:t>的悬索桥等大桥工程；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全苜蓿叶型、双喇叭型、枢纽型等各类独立的互通式立体交叉工程，隧道工程。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总长＞</w:t>
            </w:r>
            <w:r>
              <w:rPr>
                <w:rFonts w:ascii="仿宋" w:eastAsia="仿宋" w:hAnsi="仿宋" w:cs="仿宋" w:hint="eastAsia"/>
                <w:color w:val="000000"/>
                <w:kern w:val="0"/>
                <w:sz w:val="24"/>
              </w:rPr>
              <w:t>1000m</w:t>
            </w:r>
            <w:r>
              <w:rPr>
                <w:rFonts w:ascii="仿宋" w:eastAsia="仿宋" w:hAnsi="仿宋" w:cs="仿宋" w:hint="eastAsia"/>
                <w:color w:val="000000"/>
                <w:kern w:val="0"/>
                <w:sz w:val="24"/>
              </w:rPr>
              <w:t>，水深＞</w:t>
            </w:r>
            <w:r>
              <w:rPr>
                <w:rFonts w:ascii="仿宋" w:eastAsia="仿宋" w:hAnsi="仿宋" w:cs="仿宋" w:hint="eastAsia"/>
                <w:color w:val="000000"/>
                <w:kern w:val="0"/>
                <w:sz w:val="24"/>
              </w:rPr>
              <w:t>15m</w:t>
            </w:r>
            <w:r>
              <w:rPr>
                <w:rFonts w:ascii="仿宋" w:eastAsia="仿宋" w:hAnsi="仿宋" w:cs="仿宋" w:hint="eastAsia"/>
                <w:color w:val="000000"/>
                <w:kern w:val="0"/>
                <w:sz w:val="24"/>
              </w:rPr>
              <w:t>，单孔跨径为</w:t>
            </w:r>
            <w:r>
              <w:rPr>
                <w:rFonts w:ascii="仿宋" w:eastAsia="仿宋" w:hAnsi="仿宋" w:cs="仿宋" w:hint="eastAsia"/>
                <w:color w:val="000000"/>
                <w:kern w:val="0"/>
                <w:sz w:val="24"/>
              </w:rPr>
              <w:t>30~50m</w:t>
            </w:r>
            <w:r>
              <w:rPr>
                <w:rFonts w:ascii="仿宋" w:eastAsia="仿宋" w:hAnsi="仿宋" w:cs="仿宋" w:hint="eastAsia"/>
                <w:color w:val="000000"/>
                <w:kern w:val="0"/>
                <w:sz w:val="24"/>
              </w:rPr>
              <w:t>的预应力混凝土简支梁、</w:t>
            </w:r>
            <w:r>
              <w:rPr>
                <w:rFonts w:ascii="仿宋" w:eastAsia="仿宋" w:hAnsi="仿宋" w:cs="仿宋" w:hint="eastAsia"/>
                <w:color w:val="000000"/>
                <w:kern w:val="0"/>
                <w:sz w:val="24"/>
              </w:rPr>
              <w:t>30~100m</w:t>
            </w:r>
            <w:r>
              <w:rPr>
                <w:rFonts w:ascii="仿宋" w:eastAsia="仿宋" w:hAnsi="仿宋" w:cs="仿宋" w:hint="eastAsia"/>
                <w:color w:val="000000"/>
                <w:kern w:val="0"/>
                <w:sz w:val="24"/>
              </w:rPr>
              <w:t>的预应力混凝土连续箱梁等大桥工程；</w:t>
            </w:r>
            <w:r>
              <w:rPr>
                <w:rFonts w:ascii="仿宋" w:eastAsia="仿宋" w:hAnsi="仿宋" w:cs="仿宋" w:hint="eastAsia"/>
                <w:color w:val="000000"/>
                <w:kern w:val="0"/>
                <w:sz w:val="24"/>
              </w:rPr>
              <w:br/>
            </w:r>
            <w:r>
              <w:rPr>
                <w:rFonts w:ascii="仿宋" w:eastAsia="仿宋" w:hAnsi="仿宋" w:cs="仿宋" w:hint="eastAsia"/>
                <w:color w:val="000000"/>
                <w:kern w:val="0"/>
                <w:sz w:val="24"/>
              </w:rPr>
              <w:t>城市立交桥、人行天桥、地下通道、涵洞工程。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rPr>
              <w:t>除复杂</w:t>
            </w:r>
            <w:proofErr w:type="gramEnd"/>
            <w:r>
              <w:rPr>
                <w:rFonts w:ascii="仿宋" w:eastAsia="仿宋" w:hAnsi="仿宋" w:cs="仿宋" w:hint="eastAsia"/>
                <w:color w:val="000000"/>
                <w:kern w:val="0"/>
                <w:sz w:val="24"/>
              </w:rPr>
              <w:t>和中等复杂外的工程项目</w:t>
            </w:r>
          </w:p>
        </w:tc>
      </w:tr>
      <w:tr w:rsidR="00CA5443">
        <w:trPr>
          <w:trHeight w:val="1621"/>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园林绿化工程</w:t>
            </w:r>
          </w:p>
        </w:tc>
        <w:tc>
          <w:tcPr>
            <w:tcW w:w="1644"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高标准的城市重点道路绿化工程；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高标准的风景区、公共建筑环境、企事业单位与居住区的绿化工程；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公园、度假村、高尔夫球场、广场、街心花园、园林小品、屋顶花园、室内花园等绿化工程。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标准较高的道路绿化工程；</w:t>
            </w:r>
            <w:r>
              <w:rPr>
                <w:rFonts w:ascii="仿宋" w:eastAsia="仿宋" w:hAnsi="仿宋" w:cs="仿宋" w:hint="eastAsia"/>
                <w:color w:val="000000"/>
                <w:kern w:val="0"/>
                <w:sz w:val="24"/>
              </w:rPr>
              <w:br/>
            </w:r>
            <w:r>
              <w:rPr>
                <w:rFonts w:ascii="仿宋" w:eastAsia="仿宋" w:hAnsi="仿宋" w:cs="仿宋" w:hint="eastAsia"/>
                <w:color w:val="000000"/>
                <w:kern w:val="0"/>
                <w:sz w:val="24"/>
              </w:rPr>
              <w:t>一般标准的风景区、公共建筑环境、企事业单位与居住区的绿化工程。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rPr>
              <w:t>除复杂</w:t>
            </w:r>
            <w:proofErr w:type="gramEnd"/>
            <w:r>
              <w:rPr>
                <w:rFonts w:ascii="仿宋" w:eastAsia="仿宋" w:hAnsi="仿宋" w:cs="仿宋" w:hint="eastAsia"/>
                <w:color w:val="000000"/>
                <w:kern w:val="0"/>
                <w:sz w:val="24"/>
              </w:rPr>
              <w:t>和中等复杂外的工程项目</w:t>
            </w:r>
          </w:p>
        </w:tc>
      </w:tr>
      <w:tr w:rsidR="00CA5443">
        <w:trPr>
          <w:trHeight w:val="1426"/>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给排水工程</w:t>
            </w:r>
          </w:p>
        </w:tc>
        <w:tc>
          <w:tcPr>
            <w:tcW w:w="1644"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3m</w:t>
            </w:r>
            <w:r>
              <w:rPr>
                <w:rStyle w:val="font01"/>
                <w:rFonts w:hint="default"/>
              </w:rPr>
              <w:t>³</w:t>
            </w:r>
            <w:r>
              <w:rPr>
                <w:rStyle w:val="font31"/>
                <w:rFonts w:hint="default"/>
              </w:rPr>
              <w:t>/s</w:t>
            </w:r>
            <w:r>
              <w:rPr>
                <w:rStyle w:val="font31"/>
                <w:rFonts w:hint="default"/>
              </w:rPr>
              <w:t>的给水、污水泵站，</w:t>
            </w:r>
            <w:r>
              <w:rPr>
                <w:rStyle w:val="font31"/>
                <w:rFonts w:hint="default"/>
              </w:rPr>
              <w:t>≥15 m</w:t>
            </w:r>
            <w:r>
              <w:rPr>
                <w:rStyle w:val="font01"/>
                <w:rFonts w:hint="default"/>
              </w:rPr>
              <w:t>³</w:t>
            </w:r>
            <w:r>
              <w:rPr>
                <w:rStyle w:val="font31"/>
                <w:rFonts w:hint="default"/>
              </w:rPr>
              <w:t>/s</w:t>
            </w:r>
            <w:r>
              <w:rPr>
                <w:rStyle w:val="font31"/>
                <w:rFonts w:hint="default"/>
              </w:rPr>
              <w:t>的雨水泵站，</w:t>
            </w:r>
            <w:r>
              <w:rPr>
                <w:rStyle w:val="font31"/>
                <w:rFonts w:hint="default"/>
              </w:rPr>
              <w:t>≥10</w:t>
            </w:r>
            <w:r>
              <w:rPr>
                <w:rStyle w:val="font31"/>
                <w:rFonts w:hint="default"/>
              </w:rPr>
              <w:t>万吨</w:t>
            </w:r>
            <w:r>
              <w:rPr>
                <w:rStyle w:val="font31"/>
                <w:rFonts w:hint="default"/>
              </w:rPr>
              <w:t>/</w:t>
            </w:r>
            <w:r>
              <w:rPr>
                <w:rStyle w:val="font31"/>
                <w:rFonts w:hint="default"/>
              </w:rPr>
              <w:t>日给水厂工程，</w:t>
            </w:r>
            <w:r>
              <w:rPr>
                <w:rStyle w:val="font31"/>
                <w:rFonts w:hint="default"/>
              </w:rPr>
              <w:t>≥5</w:t>
            </w:r>
            <w:r>
              <w:rPr>
                <w:rStyle w:val="font31"/>
                <w:rFonts w:hint="default"/>
              </w:rPr>
              <w:t>万吨</w:t>
            </w:r>
            <w:r>
              <w:rPr>
                <w:rStyle w:val="font31"/>
                <w:rFonts w:hint="default"/>
              </w:rPr>
              <w:t>/</w:t>
            </w:r>
            <w:r>
              <w:rPr>
                <w:rStyle w:val="font31"/>
                <w:rFonts w:hint="default"/>
              </w:rPr>
              <w:t>日污水处理厂工程，直径</w:t>
            </w:r>
            <w:r>
              <w:rPr>
                <w:rStyle w:val="font31"/>
                <w:rFonts w:hint="default"/>
              </w:rPr>
              <w:t>≥2.5m</w:t>
            </w:r>
            <w:r>
              <w:rPr>
                <w:rStyle w:val="font31"/>
                <w:rFonts w:hint="default"/>
              </w:rPr>
              <w:t>的给排水管道；</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3m</w:t>
            </w:r>
            <w:r>
              <w:rPr>
                <w:rStyle w:val="font41"/>
                <w:rFonts w:hint="default"/>
              </w:rPr>
              <w:t>³</w:t>
            </w:r>
            <w:r>
              <w:rPr>
                <w:rStyle w:val="font11"/>
                <w:rFonts w:hint="default"/>
              </w:rPr>
              <w:t>/s</w:t>
            </w:r>
            <w:r>
              <w:rPr>
                <w:rStyle w:val="font11"/>
                <w:rFonts w:hint="default"/>
              </w:rPr>
              <w:t>的给水、污水泵站，＜</w:t>
            </w:r>
            <w:r>
              <w:rPr>
                <w:rStyle w:val="font11"/>
                <w:rFonts w:hint="default"/>
              </w:rPr>
              <w:t>15 m</w:t>
            </w:r>
            <w:r>
              <w:rPr>
                <w:rStyle w:val="font41"/>
                <w:rFonts w:hint="default"/>
              </w:rPr>
              <w:t>³</w:t>
            </w:r>
            <w:r>
              <w:rPr>
                <w:rStyle w:val="font11"/>
                <w:rFonts w:hint="default"/>
              </w:rPr>
              <w:t>/s</w:t>
            </w:r>
            <w:r>
              <w:rPr>
                <w:rStyle w:val="font11"/>
                <w:rFonts w:hint="default"/>
              </w:rPr>
              <w:t>的雨水泵站，＜</w:t>
            </w:r>
            <w:r>
              <w:rPr>
                <w:rStyle w:val="font11"/>
                <w:rFonts w:hint="default"/>
              </w:rPr>
              <w:t>10</w:t>
            </w:r>
            <w:r>
              <w:rPr>
                <w:rStyle w:val="font11"/>
                <w:rFonts w:hint="default"/>
              </w:rPr>
              <w:t>万吨</w:t>
            </w:r>
            <w:r>
              <w:rPr>
                <w:rStyle w:val="font11"/>
                <w:rFonts w:hint="default"/>
              </w:rPr>
              <w:t>/</w:t>
            </w:r>
            <w:r>
              <w:rPr>
                <w:rStyle w:val="font11"/>
                <w:rFonts w:hint="default"/>
              </w:rPr>
              <w:t>日给水厂工程，＜</w:t>
            </w:r>
            <w:r>
              <w:rPr>
                <w:rStyle w:val="font11"/>
                <w:rFonts w:hint="default"/>
              </w:rPr>
              <w:t>5</w:t>
            </w:r>
            <w:r>
              <w:rPr>
                <w:rStyle w:val="font11"/>
                <w:rFonts w:hint="default"/>
              </w:rPr>
              <w:t>万吨</w:t>
            </w:r>
            <w:r>
              <w:rPr>
                <w:rStyle w:val="font11"/>
                <w:rFonts w:hint="default"/>
              </w:rPr>
              <w:t>/</w:t>
            </w:r>
            <w:r>
              <w:rPr>
                <w:rStyle w:val="font11"/>
                <w:rFonts w:hint="default"/>
              </w:rPr>
              <w:t>日污水处理厂工程，直径</w:t>
            </w:r>
            <w:r>
              <w:rPr>
                <w:rStyle w:val="font11"/>
                <w:rFonts w:hint="default"/>
              </w:rPr>
              <w:t>2.5m</w:t>
            </w:r>
            <w:r>
              <w:rPr>
                <w:rStyle w:val="font11"/>
                <w:rFonts w:hint="default"/>
              </w:rPr>
              <w:t>以上的给排水管道；</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rPr>
              <w:t>除复杂</w:t>
            </w:r>
            <w:proofErr w:type="gramEnd"/>
            <w:r>
              <w:rPr>
                <w:rFonts w:ascii="仿宋" w:eastAsia="仿宋" w:hAnsi="仿宋" w:cs="仿宋" w:hint="eastAsia"/>
                <w:color w:val="000000"/>
                <w:kern w:val="0"/>
                <w:sz w:val="24"/>
              </w:rPr>
              <w:t>和中等复杂外的工程项目</w:t>
            </w:r>
          </w:p>
        </w:tc>
      </w:tr>
      <w:tr w:rsidR="00CA5443">
        <w:trPr>
          <w:trHeight w:val="1304"/>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交通路网类专项规划</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7C40C1">
            <w:pPr>
              <w:spacing w:line="240" w:lineRule="exact"/>
              <w:jc w:val="center"/>
              <w:rPr>
                <w:rFonts w:ascii="仿宋" w:eastAsia="仿宋" w:hAnsi="仿宋" w:cs="仿宋"/>
                <w:color w:val="000000"/>
                <w:sz w:val="22"/>
                <w:szCs w:val="22"/>
              </w:rPr>
            </w:pPr>
            <w:r>
              <w:rPr>
                <w:rFonts w:ascii="仿宋" w:eastAsia="仿宋" w:hAnsi="仿宋" w:cs="仿宋" w:hint="eastAsia"/>
                <w:color w:val="000000"/>
                <w:sz w:val="22"/>
                <w:szCs w:val="22"/>
              </w:rPr>
              <w:t>适用于申报给排水、市政道路（桥梁）、建筑电气、燃气工程等专业</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县级交通专项规划（包括路网、轨道、停车、慢行、公交等）。</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平方公里及以上交通专项规划（包括综合交通、路网、轨道、停车、慢行、公交等）。</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w:t>
            </w:r>
          </w:p>
        </w:tc>
      </w:tr>
      <w:tr w:rsidR="00CA5443">
        <w:trPr>
          <w:trHeight w:val="1304"/>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市政工程类专项规划</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7C40C1">
            <w:pPr>
              <w:spacing w:line="240" w:lineRule="exact"/>
              <w:jc w:val="center"/>
              <w:rPr>
                <w:rFonts w:ascii="仿宋" w:eastAsia="仿宋" w:hAnsi="仿宋" w:cs="仿宋"/>
                <w:color w:val="000000"/>
                <w:sz w:val="22"/>
                <w:szCs w:val="22"/>
              </w:rPr>
            </w:pPr>
            <w:r>
              <w:rPr>
                <w:rFonts w:ascii="仿宋" w:eastAsia="仿宋" w:hAnsi="仿宋" w:cs="仿宋" w:hint="eastAsia"/>
                <w:color w:val="000000"/>
                <w:sz w:val="22"/>
                <w:szCs w:val="22"/>
              </w:rPr>
              <w:t>适用于申报给排水、市政道路（桥梁）、建筑电气、燃气工程等专业</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县级市</w:t>
            </w:r>
            <w:proofErr w:type="gramStart"/>
            <w:r>
              <w:rPr>
                <w:rFonts w:ascii="仿宋" w:eastAsia="仿宋" w:hAnsi="仿宋" w:cs="仿宋" w:hint="eastAsia"/>
                <w:color w:val="000000"/>
                <w:kern w:val="0"/>
                <w:sz w:val="22"/>
                <w:szCs w:val="22"/>
              </w:rPr>
              <w:t>政基础</w:t>
            </w:r>
            <w:proofErr w:type="gramEnd"/>
            <w:r>
              <w:rPr>
                <w:rFonts w:ascii="仿宋" w:eastAsia="仿宋" w:hAnsi="仿宋" w:cs="仿宋" w:hint="eastAsia"/>
                <w:color w:val="000000"/>
                <w:kern w:val="0"/>
                <w:sz w:val="22"/>
                <w:szCs w:val="22"/>
              </w:rPr>
              <w:t>设施专项规划（包括水系、给水、排水、防涝、海绵、管廊、管线综合、燃气、电力通信等）。</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平方公里及以上市政基础设施</w:t>
            </w:r>
            <w:r>
              <w:rPr>
                <w:rFonts w:ascii="仿宋" w:eastAsia="仿宋" w:hAnsi="仿宋" w:cs="仿宋" w:hint="eastAsia"/>
                <w:color w:val="000000"/>
                <w:kern w:val="0"/>
                <w:sz w:val="22"/>
                <w:szCs w:val="22"/>
              </w:rPr>
              <w:t>专项规划（包括水系、给水、排水、防涝、海绵、管廊、管线综合、燃气、电力通信等）。</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w:t>
            </w:r>
          </w:p>
        </w:tc>
      </w:tr>
    </w:tbl>
    <w:p w:rsidR="00CA5443" w:rsidRDefault="00CA5443">
      <w:pPr>
        <w:rPr>
          <w:rFonts w:ascii="仿宋" w:eastAsia="仿宋" w:hAnsi="仿宋" w:cs="仿宋"/>
          <w:b/>
          <w:sz w:val="44"/>
          <w:szCs w:val="44"/>
        </w:rPr>
        <w:sectPr w:rsidR="00CA5443">
          <w:pgSz w:w="16838" w:h="11906" w:orient="landscape"/>
          <w:pgMar w:top="0" w:right="720" w:bottom="0" w:left="720" w:header="850" w:footer="992" w:gutter="0"/>
          <w:cols w:space="0"/>
          <w:docGrid w:type="lines" w:linePitch="312"/>
        </w:sectPr>
      </w:pPr>
    </w:p>
    <w:p w:rsidR="00CA5443" w:rsidRDefault="007C40C1">
      <w:pPr>
        <w:jc w:val="center"/>
        <w:rPr>
          <w:rFonts w:ascii="仿宋" w:eastAsia="仿宋" w:hAnsi="仿宋" w:cs="仿宋"/>
          <w:b/>
          <w:szCs w:val="32"/>
        </w:rPr>
      </w:pPr>
      <w:r>
        <w:rPr>
          <w:rFonts w:ascii="仿宋" w:eastAsia="仿宋" w:hAnsi="仿宋" w:cs="仿宋" w:hint="eastAsia"/>
          <w:b/>
          <w:szCs w:val="32"/>
        </w:rPr>
        <w:t>测绘、勘察</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69"/>
        <w:gridCol w:w="1335"/>
        <w:gridCol w:w="1365"/>
        <w:gridCol w:w="3239"/>
        <w:gridCol w:w="2475"/>
        <w:gridCol w:w="2552"/>
        <w:gridCol w:w="3014"/>
      </w:tblGrid>
      <w:tr w:rsidR="00CA5443">
        <w:trPr>
          <w:trHeight w:val="647"/>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33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子项</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复杂工程</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中等复杂工程</w:t>
            </w:r>
          </w:p>
        </w:tc>
        <w:tc>
          <w:tcPr>
            <w:tcW w:w="2552" w:type="dxa"/>
            <w:tcBorders>
              <w:top w:val="single" w:sz="4" w:space="0" w:color="000000"/>
              <w:left w:val="single" w:sz="4" w:space="0" w:color="000000"/>
              <w:bottom w:val="single" w:sz="4" w:space="0" w:color="auto"/>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一般工程</w:t>
            </w:r>
          </w:p>
        </w:tc>
        <w:tc>
          <w:tcPr>
            <w:tcW w:w="3014" w:type="dxa"/>
            <w:tcBorders>
              <w:top w:val="single" w:sz="4" w:space="0" w:color="000000"/>
              <w:left w:val="single" w:sz="4" w:space="0" w:color="000000"/>
              <w:bottom w:val="single" w:sz="4" w:space="0" w:color="auto"/>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备注</w:t>
            </w:r>
          </w:p>
        </w:tc>
      </w:tr>
      <w:tr w:rsidR="00CA5443">
        <w:trPr>
          <w:trHeight w:val="84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项目产值不低于</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万元</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项目产值不低于</w:t>
            </w:r>
            <w:r>
              <w:rPr>
                <w:rFonts w:ascii="仿宋" w:eastAsia="仿宋" w:hAnsi="仿宋" w:cs="仿宋" w:hint="eastAsia"/>
                <w:color w:val="000000"/>
                <w:kern w:val="0"/>
                <w:sz w:val="22"/>
                <w:szCs w:val="22"/>
              </w:rPr>
              <w:t>30</w:t>
            </w:r>
            <w:r>
              <w:rPr>
                <w:rFonts w:ascii="仿宋" w:eastAsia="仿宋" w:hAnsi="仿宋" w:cs="仿宋" w:hint="eastAsia"/>
                <w:color w:val="000000"/>
                <w:kern w:val="0"/>
                <w:sz w:val="22"/>
                <w:szCs w:val="22"/>
              </w:rPr>
              <w:t>万元</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rPr>
              <w:t>非复杂类</w:t>
            </w:r>
            <w:proofErr w:type="gramEnd"/>
            <w:r>
              <w:rPr>
                <w:rFonts w:ascii="仿宋" w:eastAsia="仿宋" w:hAnsi="仿宋" w:cs="仿宋" w:hint="eastAsia"/>
                <w:color w:val="000000"/>
                <w:kern w:val="0"/>
                <w:sz w:val="22"/>
                <w:szCs w:val="22"/>
              </w:rPr>
              <w:t>和中等复杂类工程</w:t>
            </w:r>
          </w:p>
        </w:tc>
        <w:tc>
          <w:tcPr>
            <w:tcW w:w="3014" w:type="dxa"/>
            <w:vMerge w:val="restart"/>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23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技术难度大，有创新，获取过浙江省测绘与地理信息科学技术进步奖一等奖或二等奖或三等奖</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设计路线较先进，获取过浙江省优秀测绘与地理信息工程银奖或铜奖</w:t>
            </w:r>
          </w:p>
        </w:tc>
        <w:tc>
          <w:tcPr>
            <w:tcW w:w="2552"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23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技术路线先进，获取过浙江省优秀测绘与地理信息工程金奖</w:t>
            </w:r>
          </w:p>
        </w:tc>
        <w:tc>
          <w:tcPr>
            <w:tcW w:w="2475" w:type="dxa"/>
            <w:vMerge w:val="restart"/>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内容涉及两个专业（大地测量、测绘航空摄影、摄影测量与遥感、工程测量、地籍测绘、房产测绘、行政区域界线测绘、地理信息系统工程、地图编制、海洋测绘、导航电子地图制作和互联网地图服务）</w:t>
            </w:r>
          </w:p>
        </w:tc>
        <w:tc>
          <w:tcPr>
            <w:tcW w:w="2552"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04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涉及三个或三个以上的专业（大地测量、测绘航空摄影、摄影测量与遥感、工程测量、地籍测绘、房产测绘、行政区域界线测绘、地理信息系统工程、地图编制、海洋测绘、导航电子地图制作和互联网地图服务）</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35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w:t>
            </w:r>
          </w:p>
        </w:tc>
        <w:tc>
          <w:tcPr>
            <w:tcW w:w="133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测绘专业中的大地测量专业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较高等级的控制测量，如</w:t>
            </w:r>
            <w:r>
              <w:rPr>
                <w:rFonts w:ascii="仿宋" w:eastAsia="仿宋" w:hAnsi="仿宋" w:cs="仿宋" w:hint="eastAsia"/>
                <w:color w:val="000000"/>
                <w:kern w:val="0"/>
                <w:sz w:val="22"/>
                <w:szCs w:val="22"/>
              </w:rPr>
              <w:t>GPS A</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B</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C</w:t>
            </w:r>
            <w:r>
              <w:rPr>
                <w:rFonts w:ascii="仿宋" w:eastAsia="仿宋" w:hAnsi="仿宋" w:cs="仿宋" w:hint="eastAsia"/>
                <w:color w:val="000000"/>
                <w:kern w:val="0"/>
                <w:sz w:val="22"/>
                <w:szCs w:val="22"/>
              </w:rPr>
              <w:t>级测量，一、二等水准测量；非常规测量，如天文观测、重力观测；基岩、基本标石的埋设</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一般等级的控制测量，如</w:t>
            </w:r>
            <w:r>
              <w:rPr>
                <w:rFonts w:ascii="仿宋" w:eastAsia="仿宋" w:hAnsi="仿宋" w:cs="仿宋" w:hint="eastAsia"/>
                <w:color w:val="000000"/>
                <w:kern w:val="0"/>
                <w:sz w:val="22"/>
                <w:szCs w:val="22"/>
              </w:rPr>
              <w:t>GPS D</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E</w:t>
            </w:r>
            <w:r>
              <w:rPr>
                <w:rFonts w:ascii="仿宋" w:eastAsia="仿宋" w:hAnsi="仿宋" w:cs="仿宋" w:hint="eastAsia"/>
                <w:color w:val="000000"/>
                <w:kern w:val="0"/>
                <w:sz w:val="22"/>
                <w:szCs w:val="22"/>
              </w:rPr>
              <w:t>级测量，三、四等水准测量</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测量标志普查，数据处理计算</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81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w:t>
            </w:r>
          </w:p>
        </w:tc>
        <w:tc>
          <w:tcPr>
            <w:tcW w:w="133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测绘专业中的摄影测量与遥感专业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各比例尺数字线划地图生产，地物地貌调绘</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像片控制点连测</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航片、</w:t>
            </w:r>
            <w:proofErr w:type="gramStart"/>
            <w:r>
              <w:rPr>
                <w:rFonts w:ascii="仿宋" w:eastAsia="仿宋" w:hAnsi="仿宋" w:cs="仿宋" w:hint="eastAsia"/>
                <w:color w:val="000000"/>
                <w:kern w:val="0"/>
                <w:sz w:val="22"/>
                <w:szCs w:val="22"/>
              </w:rPr>
              <w:t>卫片数字高程模型</w:t>
            </w:r>
            <w:proofErr w:type="gramEnd"/>
            <w:r>
              <w:rPr>
                <w:rFonts w:ascii="仿宋" w:eastAsia="仿宋" w:hAnsi="仿宋" w:cs="仿宋" w:hint="eastAsia"/>
                <w:color w:val="000000"/>
                <w:kern w:val="0"/>
                <w:sz w:val="22"/>
                <w:szCs w:val="22"/>
              </w:rPr>
              <w:t>和数字正射影像</w:t>
            </w:r>
            <w:proofErr w:type="gramStart"/>
            <w:r>
              <w:rPr>
                <w:rFonts w:ascii="仿宋" w:eastAsia="仿宋" w:hAnsi="仿宋" w:cs="仿宋" w:hint="eastAsia"/>
                <w:color w:val="000000"/>
                <w:kern w:val="0"/>
                <w:sz w:val="22"/>
                <w:szCs w:val="22"/>
              </w:rPr>
              <w:t>图生产</w:t>
            </w:r>
            <w:proofErr w:type="gramEnd"/>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测绘专业中的工程测量专业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控制测量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三等及以上</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四等以下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地形测量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30km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val="restart"/>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15km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70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50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80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规划测量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总建筑面积</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总建筑面积</w:t>
            </w:r>
            <w:r>
              <w:rPr>
                <w:rFonts w:ascii="仿宋" w:eastAsia="仿宋" w:hAnsi="仿宋" w:cs="仿宋" w:hint="eastAsia"/>
                <w:color w:val="000000"/>
                <w:kern w:val="0"/>
                <w:sz w:val="22"/>
                <w:szCs w:val="22"/>
              </w:rPr>
              <w:t>30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10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以上或高度</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以上的建筑</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以下或高度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以下的建筑</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变形形变与精密测量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10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以上或高度</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以上的建筑</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以下或高度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以下的建筑</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14</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市政工程测量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大城市主干道路；复杂立交桥</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中等城市一般道路；小城市道路</w:t>
            </w:r>
          </w:p>
        </w:tc>
        <w:tc>
          <w:tcPr>
            <w:tcW w:w="3014" w:type="dxa"/>
            <w:vMerge/>
            <w:tcBorders>
              <w:top w:val="single" w:sz="4" w:space="0" w:color="auto"/>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水利工程测量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特大型、大型水利水电工程</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小型水利水电工程</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16</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线路与桥隧测量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300km</w:t>
            </w:r>
            <w:r>
              <w:rPr>
                <w:rFonts w:ascii="仿宋" w:eastAsia="仿宋" w:hAnsi="仿宋" w:cs="仿宋" w:hint="eastAsia"/>
                <w:color w:val="000000"/>
                <w:kern w:val="0"/>
                <w:sz w:val="22"/>
                <w:szCs w:val="22"/>
              </w:rPr>
              <w:t>以上的线路；</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200km</w:t>
            </w:r>
            <w:r>
              <w:rPr>
                <w:rFonts w:ascii="仿宋" w:eastAsia="仿宋" w:hAnsi="仿宋" w:cs="仿宋" w:hint="eastAsia"/>
                <w:color w:val="000000"/>
                <w:kern w:val="0"/>
                <w:sz w:val="22"/>
                <w:szCs w:val="22"/>
              </w:rPr>
              <w:t>以下的线路；</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17</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4km</w:t>
            </w:r>
            <w:r>
              <w:rPr>
                <w:rFonts w:ascii="仿宋" w:eastAsia="仿宋" w:hAnsi="仿宋" w:cs="仿宋" w:hint="eastAsia"/>
                <w:color w:val="000000"/>
                <w:kern w:val="0"/>
                <w:sz w:val="22"/>
                <w:szCs w:val="22"/>
              </w:rPr>
              <w:t>以上的隧道；</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3km</w:t>
            </w:r>
            <w:r>
              <w:rPr>
                <w:rFonts w:ascii="仿宋" w:eastAsia="仿宋" w:hAnsi="仿宋" w:cs="仿宋" w:hint="eastAsia"/>
                <w:color w:val="000000"/>
                <w:kern w:val="0"/>
                <w:sz w:val="22"/>
                <w:szCs w:val="22"/>
              </w:rPr>
              <w:t>以下的隧道；</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18</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地下管线测量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管线长度</w:t>
            </w:r>
            <w:r>
              <w:rPr>
                <w:rFonts w:ascii="仿宋" w:eastAsia="仿宋" w:hAnsi="仿宋" w:cs="仿宋" w:hint="eastAsia"/>
                <w:color w:val="000000"/>
                <w:kern w:val="0"/>
                <w:sz w:val="22"/>
                <w:szCs w:val="22"/>
              </w:rPr>
              <w:t>300km</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管线长度</w:t>
            </w:r>
            <w:r>
              <w:rPr>
                <w:rFonts w:ascii="仿宋" w:eastAsia="仿宋" w:hAnsi="仿宋" w:cs="仿宋" w:hint="eastAsia"/>
                <w:color w:val="000000"/>
                <w:kern w:val="0"/>
                <w:sz w:val="22"/>
                <w:szCs w:val="22"/>
              </w:rPr>
              <w:t>200km</w:t>
            </w:r>
            <w:r>
              <w:rPr>
                <w:rFonts w:ascii="仿宋" w:eastAsia="仿宋" w:hAnsi="仿宋" w:cs="仿宋" w:hint="eastAsia"/>
                <w:color w:val="000000"/>
                <w:kern w:val="0"/>
                <w:sz w:val="22"/>
                <w:szCs w:val="22"/>
              </w:rPr>
              <w:t>以下</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19</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矿山测量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矿区控制面积</w:t>
            </w:r>
            <w:r>
              <w:rPr>
                <w:rFonts w:ascii="仿宋" w:eastAsia="仿宋" w:hAnsi="仿宋" w:cs="仿宋" w:hint="eastAsia"/>
                <w:color w:val="000000"/>
                <w:kern w:val="0"/>
                <w:sz w:val="22"/>
                <w:szCs w:val="22"/>
              </w:rPr>
              <w:t>200k 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矿区控制面积</w:t>
            </w:r>
            <w:r>
              <w:rPr>
                <w:rFonts w:ascii="仿宋" w:eastAsia="仿宋" w:hAnsi="仿宋" w:cs="仿宋" w:hint="eastAsia"/>
                <w:color w:val="000000"/>
                <w:kern w:val="0"/>
                <w:sz w:val="22"/>
                <w:szCs w:val="22"/>
              </w:rPr>
              <w:t>100k 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44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20</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测绘专业中的地理信息系统专业</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地理信息数据采集</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平方公里以上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平方公里以下</w:t>
            </w: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是指市政、交通、公共服务等设施的采集。基础地理空间数据的采集，如地形图测绘等，应按照测绘类工程要求进行评价。</w:t>
            </w:r>
          </w:p>
        </w:tc>
      </w:tr>
      <w:tr w:rsidR="00CA5443">
        <w:trPr>
          <w:trHeight w:val="108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21</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平方公里，但项目实施中开发使用了新的采集技术，如移动采集等。</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覆盖面积未达到</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平方公里，但项目实施中开发使用了新的采集技术，如移动采集等。</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51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地理信息数据处理与建库</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项目内容包括数据编辑处理和转换建库，面积</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平方公里以上。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项目内容包括数据编辑处理和转换建库，面积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内容仅包括数据编辑处理或内容包括数据处理和转换建库，但面积在</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平方公里以下。</w:t>
            </w: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是指对测绘、采集、收集或整理的地形图或地理信息数据资料（一般为</w:t>
            </w:r>
            <w:r>
              <w:rPr>
                <w:rFonts w:ascii="仿宋" w:eastAsia="仿宋" w:hAnsi="仿宋" w:cs="仿宋" w:hint="eastAsia"/>
                <w:color w:val="000000"/>
                <w:kern w:val="0"/>
                <w:sz w:val="22"/>
                <w:szCs w:val="22"/>
              </w:rPr>
              <w:t>CAD</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Excel</w:t>
            </w:r>
            <w:r>
              <w:rPr>
                <w:rFonts w:ascii="仿宋" w:eastAsia="仿宋" w:hAnsi="仿宋" w:cs="仿宋" w:hint="eastAsia"/>
                <w:color w:val="000000"/>
                <w:kern w:val="0"/>
                <w:sz w:val="22"/>
                <w:szCs w:val="22"/>
              </w:rPr>
              <w:t>、文本等格式）进行处理，形成新的数据成果。</w:t>
            </w: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地理信息系统开发</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市级以上的系统</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区县级或部门级系统</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企业级系统</w:t>
            </w: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r>
    </w:tbl>
    <w:p w:rsidR="00CA5443" w:rsidRDefault="00CA5443">
      <w:pPr>
        <w:rPr>
          <w:rFonts w:ascii="仿宋" w:eastAsia="仿宋" w:hAnsi="仿宋" w:cs="仿宋"/>
          <w:b/>
          <w:sz w:val="44"/>
          <w:szCs w:val="44"/>
        </w:rPr>
        <w:sectPr w:rsidR="00CA5443">
          <w:pgSz w:w="16838" w:h="11906" w:orient="landscape"/>
          <w:pgMar w:top="567" w:right="720" w:bottom="567" w:left="720" w:header="850" w:footer="992" w:gutter="0"/>
          <w:cols w:space="0"/>
          <w:docGrid w:type="lines" w:linePitch="312"/>
        </w:sectPr>
      </w:pPr>
    </w:p>
    <w:p w:rsidR="00CA5443" w:rsidRDefault="007C40C1">
      <w:pPr>
        <w:jc w:val="center"/>
        <w:rPr>
          <w:rFonts w:ascii="仿宋" w:eastAsia="仿宋" w:hAnsi="仿宋" w:cs="仿宋"/>
          <w:b/>
          <w:sz w:val="44"/>
          <w:szCs w:val="44"/>
        </w:rPr>
      </w:pPr>
      <w:r>
        <w:rPr>
          <w:rFonts w:ascii="仿宋" w:eastAsia="仿宋" w:hAnsi="仿宋" w:cs="仿宋" w:hint="eastAsia"/>
          <w:b/>
          <w:szCs w:val="32"/>
        </w:rPr>
        <w:t>项目管理、检测、质量安全监督、混凝土及建筑构件部品生产、建筑机械</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310"/>
        <w:gridCol w:w="4425"/>
        <w:gridCol w:w="4590"/>
        <w:gridCol w:w="3389"/>
      </w:tblGrid>
      <w:tr w:rsidR="00CA5443">
        <w:trPr>
          <w:trHeight w:val="286"/>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类别</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复杂工程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中等复杂工程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一般工程</w:t>
            </w:r>
          </w:p>
        </w:tc>
      </w:tr>
      <w:tr w:rsidR="00CA5443">
        <w:trPr>
          <w:trHeight w:val="1080"/>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公路、城市道路、轨道交通、索道工程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高速工程；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城市地铁、轻轨；</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客（货）运索道工程。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一级公路、二级公路</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高速公路的机电工程；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城市道路、广场、停车场工程。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三级、四级公路及相应的机电工程；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一级公路、二级公路的机电工程。</w:t>
            </w:r>
          </w:p>
        </w:tc>
      </w:tr>
      <w:tr w:rsidR="00CA5443">
        <w:trPr>
          <w:trHeight w:val="162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公路桥梁、城市桥梁、隧道工程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主跨≥</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拱桥，单跨≥</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，预应力混凝土连续结构，≥</w:t>
            </w:r>
            <w:r>
              <w:rPr>
                <w:rFonts w:ascii="仿宋" w:eastAsia="仿宋" w:hAnsi="仿宋" w:cs="仿宋" w:hint="eastAsia"/>
                <w:color w:val="000000"/>
                <w:kern w:val="0"/>
                <w:sz w:val="22"/>
                <w:szCs w:val="22"/>
              </w:rPr>
              <w:t>400m</w:t>
            </w:r>
            <w:r>
              <w:rPr>
                <w:rFonts w:ascii="仿宋" w:eastAsia="仿宋" w:hAnsi="仿宋" w:cs="仿宋" w:hint="eastAsia"/>
                <w:color w:val="000000"/>
                <w:kern w:val="0"/>
                <w:sz w:val="22"/>
                <w:szCs w:val="22"/>
              </w:rPr>
              <w:t>斜拉桥，≥</w:t>
            </w:r>
            <w:r>
              <w:rPr>
                <w:rFonts w:ascii="仿宋" w:eastAsia="仿宋" w:hAnsi="仿宋" w:cs="仿宋" w:hint="eastAsia"/>
                <w:color w:val="000000"/>
                <w:kern w:val="0"/>
                <w:sz w:val="22"/>
                <w:szCs w:val="22"/>
              </w:rPr>
              <w:t>800m</w:t>
            </w:r>
            <w:r>
              <w:rPr>
                <w:rFonts w:ascii="仿宋" w:eastAsia="仿宋" w:hAnsi="仿宋" w:cs="仿宋" w:hint="eastAsia"/>
                <w:color w:val="000000"/>
                <w:kern w:val="0"/>
                <w:sz w:val="22"/>
                <w:szCs w:val="22"/>
              </w:rPr>
              <w:t>悬索桥；</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连拱隧道、水底隧道、长度≥</w:t>
            </w:r>
            <w:r>
              <w:rPr>
                <w:rFonts w:ascii="仿宋" w:eastAsia="仿宋" w:hAnsi="仿宋" w:cs="仿宋" w:hint="eastAsia"/>
                <w:color w:val="000000"/>
                <w:kern w:val="0"/>
                <w:sz w:val="22"/>
                <w:szCs w:val="22"/>
              </w:rPr>
              <w:t>3000m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城市互通式立交桥。</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或</w:t>
            </w:r>
            <w:r>
              <w:rPr>
                <w:rFonts w:ascii="仿宋" w:eastAsia="仿宋" w:hAnsi="仿宋" w:cs="仿宋" w:hint="eastAsia"/>
                <w:color w:val="000000"/>
                <w:kern w:val="0"/>
                <w:sz w:val="22"/>
                <w:szCs w:val="22"/>
              </w:rPr>
              <w:t>150m</w:t>
            </w:r>
            <w:r>
              <w:rPr>
                <w:rFonts w:ascii="仿宋" w:eastAsia="仿宋" w:hAnsi="仿宋" w:cs="仿宋" w:hint="eastAsia"/>
                <w:color w:val="000000"/>
                <w:kern w:val="0"/>
                <w:sz w:val="22"/>
                <w:szCs w:val="22"/>
              </w:rPr>
              <w:t>≤单孔跨径＜</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的公路桥梁；</w:t>
            </w:r>
            <w:r>
              <w:rPr>
                <w:rFonts w:ascii="仿宋" w:eastAsia="仿宋" w:hAnsi="仿宋" w:cs="仿宋" w:hint="eastAsia"/>
                <w:color w:val="000000"/>
                <w:kern w:val="0"/>
                <w:sz w:val="22"/>
                <w:szCs w:val="22"/>
              </w:rPr>
              <w:br/>
              <w:t>2.1000m</w:t>
            </w:r>
            <w:r>
              <w:rPr>
                <w:rFonts w:ascii="仿宋" w:eastAsia="仿宋" w:hAnsi="仿宋" w:cs="仿宋" w:hint="eastAsia"/>
                <w:color w:val="000000"/>
                <w:kern w:val="0"/>
                <w:sz w:val="22"/>
                <w:szCs w:val="22"/>
              </w:rPr>
              <w:t>≤长度＜</w:t>
            </w:r>
            <w:r>
              <w:rPr>
                <w:rFonts w:ascii="仿宋" w:eastAsia="仿宋" w:hAnsi="仿宋" w:cs="仿宋" w:hint="eastAsia"/>
                <w:color w:val="000000"/>
                <w:kern w:val="0"/>
                <w:sz w:val="22"/>
                <w:szCs w:val="22"/>
              </w:rPr>
              <w:t>3000m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3.3.1000m</w:t>
            </w:r>
            <w:r>
              <w:rPr>
                <w:rFonts w:ascii="仿宋" w:eastAsia="仿宋" w:hAnsi="仿宋" w:cs="仿宋" w:hint="eastAsia"/>
                <w:color w:val="000000"/>
                <w:kern w:val="0"/>
                <w:sz w:val="22"/>
                <w:szCs w:val="22"/>
              </w:rPr>
              <w:t>≥多孔跨径≥</w:t>
            </w:r>
            <w:r>
              <w:rPr>
                <w:rFonts w:ascii="仿宋" w:eastAsia="仿宋" w:hAnsi="仿宋" w:cs="仿宋" w:hint="eastAsia"/>
                <w:color w:val="000000"/>
                <w:kern w:val="0"/>
                <w:sz w:val="22"/>
                <w:szCs w:val="22"/>
              </w:rPr>
              <w:t>500m</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≥单跨跨径≥</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的城市桥梁，分离式立交桥、地下通道工程。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或单孔跨径＜</w:t>
            </w:r>
            <w:r>
              <w:rPr>
                <w:rFonts w:ascii="仿宋" w:eastAsia="仿宋" w:hAnsi="仿宋" w:cs="仿宋" w:hint="eastAsia"/>
                <w:color w:val="000000"/>
                <w:kern w:val="0"/>
                <w:sz w:val="22"/>
                <w:szCs w:val="22"/>
              </w:rPr>
              <w:t>150m</w:t>
            </w:r>
            <w:r>
              <w:rPr>
                <w:rFonts w:ascii="仿宋" w:eastAsia="仿宋" w:hAnsi="仿宋" w:cs="仿宋" w:hint="eastAsia"/>
                <w:color w:val="000000"/>
                <w:kern w:val="0"/>
                <w:sz w:val="22"/>
                <w:szCs w:val="22"/>
              </w:rPr>
              <w:t>的公路桥梁；</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长度＜</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人行天桥、涵洞工程</w:t>
            </w:r>
          </w:p>
        </w:tc>
      </w:tr>
      <w:tr w:rsidR="00CA5443">
        <w:trPr>
          <w:trHeight w:val="270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建筑、人防工程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的公共建筑工程，或跨度≥</w:t>
            </w:r>
            <w:r>
              <w:rPr>
                <w:rFonts w:ascii="仿宋" w:eastAsia="仿宋" w:hAnsi="仿宋" w:cs="仿宋" w:hint="eastAsia"/>
                <w:color w:val="000000"/>
                <w:kern w:val="0"/>
                <w:sz w:val="22"/>
                <w:szCs w:val="22"/>
              </w:rPr>
              <w:t>36m</w:t>
            </w:r>
            <w:r>
              <w:rPr>
                <w:rFonts w:ascii="仿宋" w:eastAsia="仿宋" w:hAnsi="仿宋" w:cs="仿宋" w:hint="eastAsia"/>
                <w:color w:val="000000"/>
                <w:kern w:val="0"/>
                <w:sz w:val="22"/>
                <w:szCs w:val="22"/>
              </w:rPr>
              <w:t>的厂房和仓储建筑工程；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高标准的古建筑、保护性建筑；</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防护级别为四级以上的人防建筑；</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120m</w:t>
            </w:r>
            <w:r>
              <w:rPr>
                <w:rFonts w:ascii="仿宋" w:eastAsia="仿宋" w:hAnsi="仿宋" w:cs="仿宋" w:hint="eastAsia"/>
                <w:color w:val="000000"/>
                <w:kern w:val="0"/>
                <w:sz w:val="22"/>
                <w:szCs w:val="22"/>
              </w:rPr>
              <w:t>的高耸建筑。</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1.24m</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的公共建筑和住宅工程；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2.24m</w:t>
            </w:r>
            <w:r>
              <w:rPr>
                <w:rFonts w:ascii="仿宋" w:eastAsia="仿宋" w:hAnsi="仿宋" w:cs="仿宋" w:hint="eastAsia"/>
                <w:color w:val="000000"/>
                <w:kern w:val="0"/>
                <w:sz w:val="22"/>
                <w:szCs w:val="22"/>
              </w:rPr>
              <w:t>≤跨度＜</w:t>
            </w:r>
            <w:r>
              <w:rPr>
                <w:rFonts w:ascii="仿宋" w:eastAsia="仿宋" w:hAnsi="仿宋" w:cs="仿宋" w:hint="eastAsia"/>
                <w:color w:val="000000"/>
                <w:kern w:val="0"/>
                <w:sz w:val="22"/>
                <w:szCs w:val="22"/>
              </w:rPr>
              <w:t>36m</w:t>
            </w:r>
            <w:r>
              <w:rPr>
                <w:rFonts w:ascii="仿宋" w:eastAsia="仿宋" w:hAnsi="仿宋" w:cs="仿宋" w:hint="eastAsia"/>
                <w:color w:val="000000"/>
                <w:kern w:val="0"/>
                <w:sz w:val="22"/>
                <w:szCs w:val="22"/>
              </w:rPr>
              <w:t>厂房和仓储建筑工程；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的住宅工程；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仿古建筑，一般标准的古建筑、保护性建筑以及地下建筑工程；</w:t>
            </w:r>
            <w:r>
              <w:rPr>
                <w:rFonts w:ascii="仿宋" w:eastAsia="仿宋" w:hAnsi="仿宋" w:cs="仿宋" w:hint="eastAsia"/>
                <w:color w:val="000000"/>
                <w:kern w:val="0"/>
                <w:sz w:val="22"/>
                <w:szCs w:val="22"/>
              </w:rPr>
              <w:br/>
              <w:t>5.</w:t>
            </w:r>
            <w:r>
              <w:rPr>
                <w:rFonts w:ascii="仿宋" w:eastAsia="仿宋" w:hAnsi="仿宋" w:cs="仿宋" w:hint="eastAsia"/>
                <w:color w:val="000000"/>
                <w:kern w:val="0"/>
                <w:sz w:val="22"/>
                <w:szCs w:val="22"/>
              </w:rPr>
              <w:t>装饰、装修工程；</w:t>
            </w:r>
            <w:r>
              <w:rPr>
                <w:rFonts w:ascii="仿宋" w:eastAsia="仿宋" w:hAnsi="仿宋" w:cs="仿宋" w:hint="eastAsia"/>
                <w:color w:val="000000"/>
                <w:kern w:val="0"/>
                <w:sz w:val="22"/>
                <w:szCs w:val="22"/>
              </w:rPr>
              <w:br/>
              <w:t>6.</w:t>
            </w:r>
            <w:r>
              <w:rPr>
                <w:rFonts w:ascii="仿宋" w:eastAsia="仿宋" w:hAnsi="仿宋" w:cs="仿宋" w:hint="eastAsia"/>
                <w:color w:val="000000"/>
                <w:kern w:val="0"/>
                <w:sz w:val="22"/>
                <w:szCs w:val="22"/>
              </w:rPr>
              <w:t>防护级别为四级及以下的人防工程；</w:t>
            </w:r>
            <w:r>
              <w:rPr>
                <w:rFonts w:ascii="仿宋" w:eastAsia="仿宋" w:hAnsi="仿宋" w:cs="仿宋" w:hint="eastAsia"/>
                <w:color w:val="000000"/>
                <w:kern w:val="0"/>
                <w:sz w:val="22"/>
                <w:szCs w:val="22"/>
              </w:rPr>
              <w:br/>
              <w:t>7.70m</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120m</w:t>
            </w:r>
            <w:r>
              <w:rPr>
                <w:rFonts w:ascii="仿宋" w:eastAsia="仿宋" w:hAnsi="仿宋" w:cs="仿宋" w:hint="eastAsia"/>
                <w:color w:val="000000"/>
                <w:kern w:val="0"/>
                <w:sz w:val="22"/>
                <w:szCs w:val="22"/>
              </w:rPr>
              <w:t>的高耸建筑。</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的公共建筑和住宅工程；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跨度＜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的厂房和仓储建筑工程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室外工程及简单的配套用房；</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70m</w:t>
            </w:r>
            <w:r>
              <w:rPr>
                <w:rFonts w:ascii="仿宋" w:eastAsia="仿宋" w:hAnsi="仿宋" w:cs="仿宋" w:hint="eastAsia"/>
                <w:color w:val="000000"/>
                <w:kern w:val="0"/>
                <w:sz w:val="22"/>
                <w:szCs w:val="22"/>
              </w:rPr>
              <w:t>的高耸构筑物。</w:t>
            </w:r>
          </w:p>
        </w:tc>
      </w:tr>
      <w:tr w:rsidR="00CA5443">
        <w:trPr>
          <w:trHeight w:val="297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市政公用、园林绿化工程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Style w:val="font21"/>
                <w:rFonts w:hint="default"/>
              </w:rPr>
              <w:t>1.≥3m</w:t>
            </w:r>
            <w:r>
              <w:rPr>
                <w:rFonts w:ascii="宋体" w:hAnsi="宋体" w:cs="宋体" w:hint="eastAsia"/>
                <w:color w:val="000000"/>
                <w:kern w:val="0"/>
                <w:sz w:val="22"/>
                <w:szCs w:val="22"/>
              </w:rPr>
              <w:t>³</w:t>
            </w:r>
            <w:r>
              <w:rPr>
                <w:rStyle w:val="font21"/>
                <w:rFonts w:hint="default"/>
              </w:rPr>
              <w:t>/s</w:t>
            </w:r>
            <w:r>
              <w:rPr>
                <w:rStyle w:val="font21"/>
                <w:rFonts w:hint="default"/>
              </w:rPr>
              <w:t>的给水、污水泵站；</w:t>
            </w:r>
            <w:r>
              <w:rPr>
                <w:rStyle w:val="font21"/>
                <w:rFonts w:hint="default"/>
              </w:rPr>
              <w:t>≥10</w:t>
            </w:r>
            <w:r>
              <w:rPr>
                <w:rStyle w:val="font21"/>
                <w:rFonts w:hint="default"/>
              </w:rPr>
              <w:t>万吨</w:t>
            </w:r>
            <w:r>
              <w:rPr>
                <w:rStyle w:val="font21"/>
                <w:rFonts w:hint="default"/>
              </w:rPr>
              <w:t>/</w:t>
            </w:r>
            <w:r>
              <w:rPr>
                <w:rStyle w:val="font21"/>
                <w:rFonts w:hint="default"/>
              </w:rPr>
              <w:t>日给水厂工程，</w:t>
            </w:r>
            <w:r>
              <w:rPr>
                <w:rStyle w:val="font21"/>
                <w:rFonts w:hint="default"/>
              </w:rPr>
              <w:t>≥5</w:t>
            </w:r>
            <w:r>
              <w:rPr>
                <w:rStyle w:val="font21"/>
                <w:rFonts w:hint="default"/>
              </w:rPr>
              <w:t>万吨</w:t>
            </w:r>
            <w:r>
              <w:rPr>
                <w:rStyle w:val="font21"/>
                <w:rFonts w:hint="default"/>
              </w:rPr>
              <w:t>/</w:t>
            </w:r>
            <w:r>
              <w:rPr>
                <w:rStyle w:val="font21"/>
                <w:rFonts w:hint="default"/>
              </w:rPr>
              <w:t>日污水处理厂工程；</w:t>
            </w:r>
            <w:r>
              <w:rPr>
                <w:rStyle w:val="font21"/>
                <w:rFonts w:hint="default"/>
              </w:rPr>
              <w:br/>
              <w:t>2.</w:t>
            </w:r>
            <w:r>
              <w:rPr>
                <w:rStyle w:val="font21"/>
                <w:rFonts w:hint="default"/>
              </w:rPr>
              <w:t>城市高压燃气管网</w:t>
            </w:r>
            <w:r>
              <w:rPr>
                <w:rStyle w:val="font21"/>
                <w:rFonts w:hint="default"/>
              </w:rPr>
              <w:t>（站），</w:t>
            </w:r>
            <w:r>
              <w:rPr>
                <w:rStyle w:val="font21"/>
                <w:rFonts w:hint="default"/>
              </w:rPr>
              <w:t>≥1000m</w:t>
            </w:r>
            <w:r>
              <w:rPr>
                <w:rFonts w:ascii="宋体" w:hAnsi="宋体" w:cs="宋体" w:hint="eastAsia"/>
                <w:color w:val="000000"/>
                <w:kern w:val="0"/>
                <w:sz w:val="22"/>
                <w:szCs w:val="22"/>
              </w:rPr>
              <w:t>³</w:t>
            </w:r>
            <w:r>
              <w:rPr>
                <w:rStyle w:val="font21"/>
                <w:rFonts w:hint="default"/>
              </w:rPr>
              <w:t>液化气贮罐场（站）；</w:t>
            </w:r>
            <w:r>
              <w:rPr>
                <w:rStyle w:val="font21"/>
                <w:rFonts w:hint="default"/>
              </w:rPr>
              <w:br/>
              <w:t>3.</w:t>
            </w:r>
            <w:r>
              <w:rPr>
                <w:rStyle w:val="font21"/>
                <w:rFonts w:hint="default"/>
              </w:rPr>
              <w:t>垃圾焚烧工程；</w:t>
            </w:r>
            <w:r>
              <w:rPr>
                <w:rStyle w:val="font21"/>
                <w:rFonts w:hint="default"/>
              </w:rPr>
              <w:br/>
              <w:t>4.</w:t>
            </w:r>
            <w:r>
              <w:rPr>
                <w:rStyle w:val="font21"/>
                <w:rFonts w:hint="default"/>
              </w:rPr>
              <w:t>海底排污管线，海水取排水、淡化及处理工程。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Style w:val="font21"/>
                <w:rFonts w:hint="default"/>
              </w:rPr>
              <w:t>1.DN≥1.0m</w:t>
            </w:r>
            <w:r>
              <w:rPr>
                <w:rStyle w:val="font21"/>
                <w:rFonts w:hint="default"/>
              </w:rPr>
              <w:t>的给排水地下管线工程；＜</w:t>
            </w:r>
            <w:r>
              <w:rPr>
                <w:rStyle w:val="font21"/>
                <w:rFonts w:hint="default"/>
              </w:rPr>
              <w:t>3m</w:t>
            </w:r>
            <w:r>
              <w:rPr>
                <w:rFonts w:ascii="宋体" w:hAnsi="宋体" w:cs="宋体" w:hint="eastAsia"/>
                <w:color w:val="000000"/>
                <w:kern w:val="0"/>
                <w:sz w:val="22"/>
                <w:szCs w:val="22"/>
              </w:rPr>
              <w:t>³</w:t>
            </w:r>
            <w:r>
              <w:rPr>
                <w:rStyle w:val="font21"/>
                <w:rFonts w:hint="default"/>
              </w:rPr>
              <w:t>/s</w:t>
            </w:r>
            <w:r>
              <w:rPr>
                <w:rStyle w:val="font21"/>
                <w:rFonts w:hint="default"/>
              </w:rPr>
              <w:t>的给水、污水泵站；＜</w:t>
            </w:r>
            <w:r>
              <w:rPr>
                <w:rStyle w:val="font21"/>
                <w:rFonts w:hint="default"/>
              </w:rPr>
              <w:t>10</w:t>
            </w:r>
            <w:r>
              <w:rPr>
                <w:rStyle w:val="font21"/>
                <w:rFonts w:hint="default"/>
              </w:rPr>
              <w:t>万吨</w:t>
            </w:r>
            <w:r>
              <w:rPr>
                <w:rStyle w:val="font21"/>
                <w:rFonts w:hint="default"/>
              </w:rPr>
              <w:t>/</w:t>
            </w:r>
            <w:r>
              <w:rPr>
                <w:rStyle w:val="font21"/>
                <w:rFonts w:hint="default"/>
              </w:rPr>
              <w:t>日给水厂工程，＜</w:t>
            </w:r>
            <w:r>
              <w:rPr>
                <w:rStyle w:val="font21"/>
                <w:rFonts w:hint="default"/>
              </w:rPr>
              <w:t>5</w:t>
            </w:r>
            <w:r>
              <w:rPr>
                <w:rStyle w:val="font21"/>
                <w:rFonts w:hint="default"/>
              </w:rPr>
              <w:t>万吨</w:t>
            </w:r>
            <w:r>
              <w:rPr>
                <w:rStyle w:val="font21"/>
                <w:rFonts w:hint="default"/>
              </w:rPr>
              <w:t>/</w:t>
            </w:r>
            <w:r>
              <w:rPr>
                <w:rStyle w:val="font21"/>
                <w:rFonts w:hint="default"/>
              </w:rPr>
              <w:t>日污水处理厂工程；</w:t>
            </w:r>
            <w:r>
              <w:rPr>
                <w:rStyle w:val="font21"/>
                <w:rFonts w:hint="default"/>
              </w:rPr>
              <w:br/>
              <w:t>2.</w:t>
            </w:r>
            <w:r>
              <w:rPr>
                <w:rStyle w:val="font21"/>
                <w:rFonts w:hint="default"/>
              </w:rPr>
              <w:t>城市中、低压燃气管网（站），＜</w:t>
            </w:r>
            <w:r>
              <w:rPr>
                <w:rStyle w:val="font21"/>
                <w:rFonts w:hint="default"/>
              </w:rPr>
              <w:t>1000m</w:t>
            </w:r>
            <w:r>
              <w:rPr>
                <w:rFonts w:ascii="宋体" w:hAnsi="宋体" w:cs="宋体" w:hint="eastAsia"/>
                <w:color w:val="000000"/>
                <w:kern w:val="0"/>
                <w:sz w:val="22"/>
                <w:szCs w:val="22"/>
              </w:rPr>
              <w:t>³</w:t>
            </w:r>
            <w:r>
              <w:rPr>
                <w:rStyle w:val="font21"/>
                <w:rFonts w:hint="default"/>
              </w:rPr>
              <w:t>液化气贮罐场（站）；</w:t>
            </w:r>
            <w:r>
              <w:rPr>
                <w:rStyle w:val="font21"/>
                <w:rFonts w:hint="default"/>
              </w:rPr>
              <w:br/>
              <w:t>3.</w:t>
            </w:r>
            <w:r>
              <w:rPr>
                <w:rStyle w:val="font21"/>
                <w:rFonts w:hint="default"/>
              </w:rPr>
              <w:t>锅炉房，城市供热管网工程，</w:t>
            </w:r>
            <w:r>
              <w:rPr>
                <w:rStyle w:val="font21"/>
                <w:rFonts w:hint="default"/>
              </w:rPr>
              <w:t>≥2MK</w:t>
            </w:r>
            <w:r>
              <w:rPr>
                <w:rStyle w:val="font21"/>
                <w:rFonts w:hint="default"/>
              </w:rPr>
              <w:t>换热站工程；</w:t>
            </w:r>
            <w:r>
              <w:rPr>
                <w:rStyle w:val="font21"/>
                <w:rFonts w:hint="default"/>
              </w:rPr>
              <w:br/>
              <w:t>4.≥100t/</w:t>
            </w:r>
            <w:r>
              <w:rPr>
                <w:rStyle w:val="font21"/>
                <w:rFonts w:hint="default"/>
              </w:rPr>
              <w:t>日的垃圾中转站，垃圾填埋工程；</w:t>
            </w:r>
            <w:r>
              <w:rPr>
                <w:rStyle w:val="font21"/>
                <w:rFonts w:hint="default"/>
              </w:rPr>
              <w:br/>
              <w:t>5.</w:t>
            </w:r>
            <w:r>
              <w:rPr>
                <w:rStyle w:val="font21"/>
                <w:rFonts w:hint="default"/>
              </w:rPr>
              <w:t>园林绿化工程。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1.DN</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1.0m</w:t>
            </w:r>
            <w:r>
              <w:rPr>
                <w:rFonts w:ascii="仿宋" w:eastAsia="仿宋" w:hAnsi="仿宋" w:cs="仿宋" w:hint="eastAsia"/>
                <w:color w:val="000000"/>
                <w:kern w:val="0"/>
                <w:sz w:val="22"/>
                <w:szCs w:val="22"/>
              </w:rPr>
              <w:t>的给排水地下管线工程；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小区内燃气管道工程；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3.</w:t>
            </w:r>
            <w:r>
              <w:rPr>
                <w:rFonts w:ascii="仿宋" w:eastAsia="仿宋" w:hAnsi="仿宋" w:cs="仿宋" w:hint="eastAsia"/>
                <w:color w:val="000000"/>
                <w:kern w:val="0"/>
                <w:sz w:val="22"/>
                <w:szCs w:val="22"/>
              </w:rPr>
              <w:t>小区供热管网工程，＜</w:t>
            </w:r>
            <w:r>
              <w:rPr>
                <w:rFonts w:ascii="仿宋" w:eastAsia="仿宋" w:hAnsi="仿宋" w:cs="仿宋" w:hint="eastAsia"/>
                <w:color w:val="000000"/>
                <w:kern w:val="0"/>
                <w:sz w:val="22"/>
                <w:szCs w:val="22"/>
              </w:rPr>
              <w:t>2MK</w:t>
            </w:r>
            <w:r>
              <w:rPr>
                <w:rFonts w:ascii="仿宋" w:eastAsia="仿宋" w:hAnsi="仿宋" w:cs="仿宋" w:hint="eastAsia"/>
                <w:color w:val="000000"/>
                <w:kern w:val="0"/>
                <w:sz w:val="22"/>
                <w:szCs w:val="22"/>
              </w:rPr>
              <w:t>换热站工程；</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小型垃圾中转站，简易堆肥工程。</w:t>
            </w:r>
          </w:p>
        </w:tc>
      </w:tr>
    </w:tbl>
    <w:p w:rsidR="00CA5443" w:rsidRDefault="00CA5443">
      <w:pPr>
        <w:rPr>
          <w:rFonts w:ascii="仿宋" w:eastAsia="仿宋" w:hAnsi="仿宋" w:cs="仿宋"/>
          <w:b/>
          <w:sz w:val="44"/>
          <w:szCs w:val="44"/>
        </w:rPr>
        <w:sectPr w:rsidR="00CA5443">
          <w:pgSz w:w="16838" w:h="11906" w:orient="landscape"/>
          <w:pgMar w:top="567" w:right="720" w:bottom="567" w:left="720" w:header="850" w:footer="992" w:gutter="0"/>
          <w:cols w:space="0"/>
          <w:docGrid w:type="lines" w:linePitch="312"/>
        </w:sectPr>
      </w:pPr>
    </w:p>
    <w:p w:rsidR="00CA5443" w:rsidRDefault="007C40C1">
      <w:pPr>
        <w:jc w:val="center"/>
        <w:rPr>
          <w:rFonts w:ascii="仿宋" w:eastAsia="仿宋" w:hAnsi="仿宋" w:cs="仿宋"/>
          <w:b/>
          <w:szCs w:val="32"/>
        </w:rPr>
      </w:pPr>
      <w:r>
        <w:rPr>
          <w:rFonts w:ascii="仿宋" w:eastAsia="仿宋" w:hAnsi="仿宋" w:cs="仿宋" w:hint="eastAsia"/>
          <w:b/>
          <w:szCs w:val="32"/>
        </w:rPr>
        <w:t>造价管理</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63"/>
        <w:gridCol w:w="1165"/>
        <w:gridCol w:w="6513"/>
        <w:gridCol w:w="5419"/>
      </w:tblGrid>
      <w:tr w:rsidR="00CA5443">
        <w:trPr>
          <w:trHeight w:val="500"/>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1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类别</w:t>
            </w:r>
          </w:p>
        </w:tc>
        <w:tc>
          <w:tcPr>
            <w:tcW w:w="6513"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政府类工程</w:t>
            </w:r>
          </w:p>
        </w:tc>
        <w:tc>
          <w:tcPr>
            <w:tcW w:w="541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企业类工程</w:t>
            </w:r>
          </w:p>
        </w:tc>
      </w:tr>
      <w:tr w:rsidR="00CA5443">
        <w:trPr>
          <w:trHeight w:val="3083"/>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1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以具体项目为主的业绩</w:t>
            </w:r>
          </w:p>
        </w:tc>
        <w:tc>
          <w:tcPr>
            <w:tcW w:w="6513" w:type="dxa"/>
            <w:vAlign w:val="center"/>
          </w:tcPr>
          <w:p w:rsidR="00CA5443" w:rsidRDefault="007C40C1">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政府类工程项目指的是县级以上人民政府利用一般公共预算、政府性基金预算、国有资本经营预算中安排资金所进行的固定资产投资项目。对于国企项目，可按是否进入可行性研究审批程序作判断，如平台性国企承担建设任务的教育、公共基础设施等项目，都属于政府类项目（理解为政府购买服务项目）。对于地铁项目，以及做</w:t>
            </w:r>
            <w:proofErr w:type="gramStart"/>
            <w:r>
              <w:rPr>
                <w:rFonts w:ascii="仿宋" w:eastAsia="仿宋" w:hAnsi="仿宋" w:cs="仿宋" w:hint="eastAsia"/>
                <w:color w:val="000000"/>
                <w:sz w:val="24"/>
              </w:rPr>
              <w:t>地主体</w:t>
            </w:r>
            <w:proofErr w:type="gramEnd"/>
            <w:r>
              <w:rPr>
                <w:rFonts w:ascii="仿宋" w:eastAsia="仿宋" w:hAnsi="仿宋" w:cs="仿宋" w:hint="eastAsia"/>
                <w:color w:val="000000"/>
                <w:sz w:val="24"/>
              </w:rPr>
              <w:t>自筹资金的配套市政项目，统一划定为企业类项目。</w:t>
            </w:r>
          </w:p>
        </w:tc>
        <w:tc>
          <w:tcPr>
            <w:tcW w:w="5419"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sz w:val="24"/>
              </w:rPr>
              <w:t>企业类工程指项目立项按核准或备案程序的，或不能认定为政府类工程的，应认定为企业类项目。</w:t>
            </w:r>
          </w:p>
        </w:tc>
      </w:tr>
      <w:tr w:rsidR="00CA5443">
        <w:trPr>
          <w:trHeight w:val="2705"/>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165" w:type="dxa"/>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以起草部门规章，规范性文件等为主的业绩</w:t>
            </w:r>
          </w:p>
        </w:tc>
        <w:tc>
          <w:tcPr>
            <w:tcW w:w="11932" w:type="dxa"/>
            <w:gridSpan w:val="2"/>
            <w:tcBorders>
              <w:top w:val="single" w:sz="4" w:space="0" w:color="000000"/>
              <w:left w:val="single" w:sz="4" w:space="0" w:color="000000"/>
              <w:bottom w:val="single" w:sz="4" w:space="0" w:color="000000"/>
              <w:right w:val="single" w:sz="4" w:space="0" w:color="000000"/>
            </w:tcBorders>
            <w:vAlign w:val="center"/>
          </w:tcPr>
          <w:p w:rsidR="00CA5443" w:rsidRDefault="007C40C1">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、部门规章级别的（包括地方性法规），按照</w:t>
            </w:r>
            <w:r>
              <w:rPr>
                <w:rFonts w:ascii="仿宋" w:eastAsia="仿宋" w:hAnsi="仿宋" w:cs="仿宋" w:hint="eastAsia"/>
                <w:color w:val="000000"/>
                <w:sz w:val="24"/>
              </w:rPr>
              <w:t>30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项（牵头部门的主要起草人），</w:t>
            </w:r>
            <w:r>
              <w:rPr>
                <w:rFonts w:ascii="仿宋" w:eastAsia="仿宋" w:hAnsi="仿宋" w:cs="仿宋" w:hint="eastAsia"/>
                <w:color w:val="000000"/>
                <w:sz w:val="24"/>
              </w:rPr>
              <w:t>20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项（参与起草）；一般规范性文件的，按照</w:t>
            </w:r>
            <w:r>
              <w:rPr>
                <w:rFonts w:ascii="仿宋" w:eastAsia="仿宋" w:hAnsi="仿宋" w:cs="仿宋" w:hint="eastAsia"/>
                <w:color w:val="000000"/>
                <w:sz w:val="24"/>
              </w:rPr>
              <w:t>20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项（牵头部门的主要起草人），</w:t>
            </w:r>
            <w:r>
              <w:rPr>
                <w:rFonts w:ascii="仿宋" w:eastAsia="仿宋" w:hAnsi="仿宋" w:cs="仿宋" w:hint="eastAsia"/>
                <w:color w:val="000000"/>
                <w:sz w:val="24"/>
              </w:rPr>
              <w:t>10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项（参与起草）；其余不予计分。</w:t>
            </w:r>
          </w:p>
          <w:p w:rsidR="00CA5443" w:rsidRDefault="007C40C1">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、申报高级职称，以撰写部门规章、规范性文件为业绩的，不少于</w:t>
            </w:r>
            <w:r>
              <w:rPr>
                <w:rFonts w:ascii="仿宋" w:eastAsia="仿宋" w:hAnsi="仿宋" w:cs="仿宋" w:hint="eastAsia"/>
                <w:color w:val="000000"/>
                <w:sz w:val="24"/>
              </w:rPr>
              <w:t>1</w:t>
            </w:r>
            <w:r>
              <w:rPr>
                <w:rFonts w:ascii="仿宋" w:eastAsia="仿宋" w:hAnsi="仿宋" w:cs="仿宋" w:hint="eastAsia"/>
                <w:color w:val="000000"/>
                <w:sz w:val="24"/>
              </w:rPr>
              <w:t>项业绩为部门规章（包括地方性法规）。</w:t>
            </w:r>
          </w:p>
          <w:p w:rsidR="00CA5443" w:rsidRDefault="007C40C1">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、申报高级职称，以撰写部门规章、规范性文件为业绩的，申报人应为实际承担撰写工作的人，不包含参加征求意见会或听证等。</w:t>
            </w:r>
            <w:r>
              <w:rPr>
                <w:rFonts w:ascii="仿宋" w:eastAsia="仿宋" w:hAnsi="仿宋" w:cs="仿宋" w:hint="eastAsia"/>
                <w:color w:val="000000"/>
                <w:sz w:val="24"/>
              </w:rPr>
              <w:t xml:space="preserve"> </w:t>
            </w:r>
          </w:p>
        </w:tc>
      </w:tr>
    </w:tbl>
    <w:p w:rsidR="00CA5443" w:rsidRDefault="007C40C1">
      <w:pPr>
        <w:widowControl/>
        <w:jc w:val="left"/>
        <w:rPr>
          <w:rFonts w:ascii="仿宋" w:eastAsia="仿宋" w:hAnsi="仿宋"/>
        </w:rPr>
      </w:pPr>
      <w:r>
        <w:rPr>
          <w:rFonts w:ascii="仿宋" w:eastAsia="仿宋" w:hAnsi="仿宋" w:cs="仿宋" w:hint="eastAsia"/>
          <w:color w:val="000000"/>
          <w:szCs w:val="32"/>
        </w:rPr>
        <w:t>注：部分专业未单独制定复杂程度说明，依托于所在工程的复杂程度。</w:t>
      </w:r>
    </w:p>
    <w:p w:rsidR="00CA5443" w:rsidRDefault="00CA5443">
      <w:pPr>
        <w:rPr>
          <w:rFonts w:ascii="仿宋" w:eastAsia="仿宋" w:hAnsi="仿宋"/>
        </w:rPr>
      </w:pPr>
    </w:p>
    <w:p w:rsidR="00CA5443" w:rsidRDefault="00CA5443">
      <w:pPr>
        <w:ind w:rightChars="97" w:right="306"/>
        <w:rPr>
          <w:rFonts w:ascii="仿宋" w:eastAsia="仿宋" w:hAnsi="仿宋"/>
        </w:rPr>
      </w:pPr>
    </w:p>
    <w:sectPr w:rsidR="00CA5443">
      <w:pgSz w:w="16840" w:h="11907" w:orient="landscape"/>
      <w:pgMar w:top="1531" w:right="2041" w:bottom="1531" w:left="2041" w:header="851" w:footer="1644" w:gutter="0"/>
      <w:pgNumType w:fmt="numberInDash"/>
      <w:cols w:space="0"/>
      <w:titlePg/>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C1" w:rsidRDefault="007C40C1">
      <w:r>
        <w:separator/>
      </w:r>
    </w:p>
  </w:endnote>
  <w:endnote w:type="continuationSeparator" w:id="0">
    <w:p w:rsidR="007C40C1" w:rsidRDefault="007C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43" w:rsidRDefault="007C40C1">
    <w:pPr>
      <w:pStyle w:val="a4"/>
      <w:framePr w:wrap="around" w:vAnchor="text" w:hAnchor="margin" w:xAlign="outside" w:y="1"/>
      <w:ind w:leftChars="100" w:left="320" w:rightChars="100" w:right="320"/>
      <w:rPr>
        <w:rStyle w:val="a7"/>
        <w:rFonts w:ascii="仿宋_GB2312"/>
        <w:sz w:val="28"/>
        <w:szCs w:val="28"/>
      </w:rPr>
    </w:pPr>
    <w:r>
      <w:rPr>
        <w:rStyle w:val="a7"/>
        <w:rFonts w:ascii="仿宋_GB2312" w:hint="eastAsia"/>
        <w:sz w:val="28"/>
        <w:szCs w:val="28"/>
      </w:rPr>
      <w:fldChar w:fldCharType="begin"/>
    </w:r>
    <w:r>
      <w:rPr>
        <w:rStyle w:val="a7"/>
        <w:rFonts w:ascii="仿宋_GB2312" w:hint="eastAsia"/>
        <w:sz w:val="28"/>
        <w:szCs w:val="28"/>
      </w:rPr>
      <w:instrText xml:space="preserve">PAGE  </w:instrText>
    </w:r>
    <w:r>
      <w:rPr>
        <w:rStyle w:val="a7"/>
        <w:rFonts w:ascii="仿宋_GB2312" w:hint="eastAsia"/>
        <w:sz w:val="28"/>
        <w:szCs w:val="28"/>
      </w:rPr>
      <w:fldChar w:fldCharType="separate"/>
    </w:r>
    <w:r w:rsidR="00E462E3">
      <w:rPr>
        <w:rStyle w:val="a7"/>
        <w:rFonts w:ascii="仿宋_GB2312"/>
        <w:noProof/>
        <w:sz w:val="28"/>
        <w:szCs w:val="28"/>
      </w:rPr>
      <w:t>- 3 -</w:t>
    </w:r>
    <w:r>
      <w:rPr>
        <w:rStyle w:val="a7"/>
        <w:rFonts w:ascii="仿宋_GB2312" w:hint="eastAsia"/>
        <w:sz w:val="28"/>
        <w:szCs w:val="28"/>
      </w:rPr>
      <w:fldChar w:fldCharType="end"/>
    </w:r>
  </w:p>
  <w:p w:rsidR="00CA5443" w:rsidRDefault="00CA544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43" w:rsidRDefault="007C40C1">
    <w:pPr>
      <w:pStyle w:val="a4"/>
      <w:framePr w:wrap="around" w:vAnchor="text" w:hAnchor="margin" w:xAlign="outside" w:y="1"/>
      <w:ind w:rightChars="100" w:right="320" w:firstLineChars="100" w:firstLine="280"/>
      <w:rPr>
        <w:rStyle w:val="a7"/>
        <w:rFonts w:ascii="楷体_GB2312" w:eastAsia="楷体_GB2312" w:hAnsi="楷体"/>
        <w:sz w:val="28"/>
        <w:szCs w:val="28"/>
      </w:rPr>
    </w:pPr>
    <w:r>
      <w:rPr>
        <w:rStyle w:val="a7"/>
        <w:rFonts w:ascii="楷体_GB2312" w:eastAsia="楷体_GB2312" w:hAnsi="楷体" w:hint="eastAsia"/>
        <w:sz w:val="28"/>
        <w:szCs w:val="28"/>
      </w:rPr>
      <w:fldChar w:fldCharType="begin"/>
    </w:r>
    <w:r>
      <w:rPr>
        <w:rStyle w:val="a7"/>
        <w:rFonts w:ascii="楷体_GB2312" w:eastAsia="楷体_GB2312" w:hAnsi="楷体" w:hint="eastAsia"/>
        <w:sz w:val="28"/>
        <w:szCs w:val="28"/>
      </w:rPr>
      <w:instrText xml:space="preserve">PAGE  </w:instrText>
    </w:r>
    <w:r>
      <w:rPr>
        <w:rStyle w:val="a7"/>
        <w:rFonts w:ascii="楷体_GB2312" w:eastAsia="楷体_GB2312" w:hAnsi="楷体" w:hint="eastAsia"/>
        <w:sz w:val="28"/>
        <w:szCs w:val="28"/>
      </w:rPr>
      <w:fldChar w:fldCharType="separate"/>
    </w:r>
    <w:r w:rsidR="00E00689">
      <w:rPr>
        <w:rStyle w:val="a7"/>
        <w:rFonts w:ascii="楷体_GB2312" w:eastAsia="楷体_GB2312" w:hAnsi="楷体"/>
        <w:noProof/>
        <w:sz w:val="28"/>
        <w:szCs w:val="28"/>
      </w:rPr>
      <w:t>6</w:t>
    </w:r>
    <w:r>
      <w:rPr>
        <w:rStyle w:val="a7"/>
        <w:rFonts w:ascii="楷体_GB2312" w:eastAsia="楷体_GB2312" w:hAnsi="楷体" w:hint="eastAsia"/>
        <w:sz w:val="28"/>
        <w:szCs w:val="28"/>
      </w:rPr>
      <w:fldChar w:fldCharType="end"/>
    </w:r>
  </w:p>
  <w:p w:rsidR="00CA5443" w:rsidRDefault="00CA544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C1" w:rsidRDefault="007C40C1">
      <w:r>
        <w:separator/>
      </w:r>
    </w:p>
  </w:footnote>
  <w:footnote w:type="continuationSeparator" w:id="0">
    <w:p w:rsidR="007C40C1" w:rsidRDefault="007C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43" w:rsidRDefault="00CA544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43" w:rsidRDefault="00CA544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7071FC"/>
    <w:multiLevelType w:val="singleLevel"/>
    <w:tmpl w:val="EF7071FC"/>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8"/>
  <w:drawingGridVerticalSpacing w:val="295"/>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DF"/>
    <w:rsid w:val="C9BBD564"/>
    <w:rsid w:val="EF27E698"/>
    <w:rsid w:val="F4FA1D2F"/>
    <w:rsid w:val="F7D50DC2"/>
    <w:rsid w:val="FBF8A858"/>
    <w:rsid w:val="FEFFB670"/>
    <w:rsid w:val="FF37E995"/>
    <w:rsid w:val="FFFFC515"/>
    <w:rsid w:val="0001071E"/>
    <w:rsid w:val="0004690A"/>
    <w:rsid w:val="000A171B"/>
    <w:rsid w:val="000A46C0"/>
    <w:rsid w:val="0012771D"/>
    <w:rsid w:val="00141EBE"/>
    <w:rsid w:val="001E79D7"/>
    <w:rsid w:val="001F58DF"/>
    <w:rsid w:val="00200BF5"/>
    <w:rsid w:val="002324F7"/>
    <w:rsid w:val="00260D1F"/>
    <w:rsid w:val="00262575"/>
    <w:rsid w:val="003029B3"/>
    <w:rsid w:val="00312D13"/>
    <w:rsid w:val="00330B91"/>
    <w:rsid w:val="00357A29"/>
    <w:rsid w:val="00374EFD"/>
    <w:rsid w:val="00387459"/>
    <w:rsid w:val="00387CD4"/>
    <w:rsid w:val="00397332"/>
    <w:rsid w:val="003A6D58"/>
    <w:rsid w:val="003C6074"/>
    <w:rsid w:val="003D29B0"/>
    <w:rsid w:val="003F4E85"/>
    <w:rsid w:val="00422D6C"/>
    <w:rsid w:val="004368B8"/>
    <w:rsid w:val="004426A6"/>
    <w:rsid w:val="004744C8"/>
    <w:rsid w:val="0048290C"/>
    <w:rsid w:val="004948B5"/>
    <w:rsid w:val="004A34D9"/>
    <w:rsid w:val="004A46DA"/>
    <w:rsid w:val="004C2944"/>
    <w:rsid w:val="004D6F4D"/>
    <w:rsid w:val="004D6F51"/>
    <w:rsid w:val="004E019E"/>
    <w:rsid w:val="00522652"/>
    <w:rsid w:val="00526D05"/>
    <w:rsid w:val="00550F66"/>
    <w:rsid w:val="00567D8B"/>
    <w:rsid w:val="00572DCE"/>
    <w:rsid w:val="005813A0"/>
    <w:rsid w:val="00584D5A"/>
    <w:rsid w:val="00585B51"/>
    <w:rsid w:val="005A3ADE"/>
    <w:rsid w:val="005C0B36"/>
    <w:rsid w:val="005E61ED"/>
    <w:rsid w:val="006234D8"/>
    <w:rsid w:val="00637A73"/>
    <w:rsid w:val="006B1227"/>
    <w:rsid w:val="006D6ACC"/>
    <w:rsid w:val="006E42B0"/>
    <w:rsid w:val="007217F6"/>
    <w:rsid w:val="00726D66"/>
    <w:rsid w:val="0073726F"/>
    <w:rsid w:val="00742EF7"/>
    <w:rsid w:val="007911DD"/>
    <w:rsid w:val="007C40C1"/>
    <w:rsid w:val="0081278F"/>
    <w:rsid w:val="008150D3"/>
    <w:rsid w:val="00816BDB"/>
    <w:rsid w:val="00820544"/>
    <w:rsid w:val="00831997"/>
    <w:rsid w:val="008827AE"/>
    <w:rsid w:val="00886D19"/>
    <w:rsid w:val="008A61BF"/>
    <w:rsid w:val="008E02AB"/>
    <w:rsid w:val="008F57A4"/>
    <w:rsid w:val="0090267D"/>
    <w:rsid w:val="009163A8"/>
    <w:rsid w:val="00920F09"/>
    <w:rsid w:val="0092154D"/>
    <w:rsid w:val="00923443"/>
    <w:rsid w:val="00927760"/>
    <w:rsid w:val="00927C95"/>
    <w:rsid w:val="0095265A"/>
    <w:rsid w:val="00954499"/>
    <w:rsid w:val="00970A52"/>
    <w:rsid w:val="009F7A9B"/>
    <w:rsid w:val="00A17EAD"/>
    <w:rsid w:val="00A2223D"/>
    <w:rsid w:val="00A95259"/>
    <w:rsid w:val="00AC1AAA"/>
    <w:rsid w:val="00B30312"/>
    <w:rsid w:val="00B37257"/>
    <w:rsid w:val="00B533CA"/>
    <w:rsid w:val="00B54798"/>
    <w:rsid w:val="00BA4B3F"/>
    <w:rsid w:val="00BB256C"/>
    <w:rsid w:val="00BB3ACF"/>
    <w:rsid w:val="00C20E4D"/>
    <w:rsid w:val="00C46C5C"/>
    <w:rsid w:val="00C74F85"/>
    <w:rsid w:val="00C857E3"/>
    <w:rsid w:val="00C97AB5"/>
    <w:rsid w:val="00CA5443"/>
    <w:rsid w:val="00CA7C7A"/>
    <w:rsid w:val="00CE0205"/>
    <w:rsid w:val="00CE26BC"/>
    <w:rsid w:val="00D12165"/>
    <w:rsid w:val="00D12495"/>
    <w:rsid w:val="00D31AA4"/>
    <w:rsid w:val="00D449CB"/>
    <w:rsid w:val="00DB6587"/>
    <w:rsid w:val="00E00689"/>
    <w:rsid w:val="00E2313F"/>
    <w:rsid w:val="00E27CCA"/>
    <w:rsid w:val="00E462E3"/>
    <w:rsid w:val="00E90880"/>
    <w:rsid w:val="00EC2BD7"/>
    <w:rsid w:val="00EF055E"/>
    <w:rsid w:val="00F1776F"/>
    <w:rsid w:val="00F43D12"/>
    <w:rsid w:val="00F60493"/>
    <w:rsid w:val="00F64873"/>
    <w:rsid w:val="00F83D74"/>
    <w:rsid w:val="00F94A33"/>
    <w:rsid w:val="00FC3EE9"/>
    <w:rsid w:val="00FE61CF"/>
    <w:rsid w:val="00FE652D"/>
    <w:rsid w:val="00FF24A7"/>
    <w:rsid w:val="2FF53C6F"/>
    <w:rsid w:val="375F2227"/>
    <w:rsid w:val="3BE7DA39"/>
    <w:rsid w:val="55D9D774"/>
    <w:rsid w:val="57DF15DB"/>
    <w:rsid w:val="67BF555C"/>
    <w:rsid w:val="7CFF8909"/>
    <w:rsid w:val="7E572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pBdr>
        <w:top w:val="single" w:sz="6" w:space="1" w:color="auto"/>
        <w:bottom w:val="single" w:sz="6" w:space="1" w:color="auto"/>
      </w:pBdr>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customStyle="1" w:styleId="Char">
    <w:name w:val="正文文本 Char"/>
    <w:link w:val="a3"/>
    <w:qFormat/>
    <w:rPr>
      <w:rFonts w:ascii="仿宋_GB2312" w:eastAsia="仿宋_GB2312"/>
      <w:kern w:val="2"/>
      <w:sz w:val="32"/>
      <w:szCs w:val="24"/>
      <w:lang w:val="en-US" w:eastAsia="zh-CN" w:bidi="ar-SA"/>
    </w:rPr>
  </w:style>
  <w:style w:type="paragraph" w:styleId="a8">
    <w:name w:val="List Paragraph"/>
    <w:basedOn w:val="a"/>
    <w:uiPriority w:val="99"/>
    <w:unhideWhenUsed/>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 w:eastAsia="仿宋" w:hAnsi="仿宋" w:cs="仿宋"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21">
    <w:name w:val="font21"/>
    <w:basedOn w:val="a0"/>
    <w:qFormat/>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pBdr>
        <w:top w:val="single" w:sz="6" w:space="1" w:color="auto"/>
        <w:bottom w:val="single" w:sz="6" w:space="1" w:color="auto"/>
      </w:pBdr>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customStyle="1" w:styleId="Char">
    <w:name w:val="正文文本 Char"/>
    <w:link w:val="a3"/>
    <w:qFormat/>
    <w:rPr>
      <w:rFonts w:ascii="仿宋_GB2312" w:eastAsia="仿宋_GB2312"/>
      <w:kern w:val="2"/>
      <w:sz w:val="32"/>
      <w:szCs w:val="24"/>
      <w:lang w:val="en-US" w:eastAsia="zh-CN" w:bidi="ar-SA"/>
    </w:rPr>
  </w:style>
  <w:style w:type="paragraph" w:styleId="a8">
    <w:name w:val="List Paragraph"/>
    <w:basedOn w:val="a"/>
    <w:uiPriority w:val="99"/>
    <w:unhideWhenUsed/>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 w:eastAsia="仿宋" w:hAnsi="仿宋" w:cs="仿宋"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21">
    <w:name w:val="font21"/>
    <w:basedOn w:val="a0"/>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771</Words>
  <Characters>4401</Characters>
  <Application>Microsoft Office Word</Application>
  <DocSecurity>0</DocSecurity>
  <Lines>36</Lines>
  <Paragraphs>10</Paragraphs>
  <ScaleCrop>false</ScaleCrop>
  <Company>Lenovo</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杭建计通知（2004）1号</dc:title>
  <dc:creator>杨仲璐;高家玺(gjiaxi)</dc:creator>
  <cp:lastModifiedBy>范月莹</cp:lastModifiedBy>
  <cp:revision>2</cp:revision>
  <cp:lastPrinted>2020-07-31T18:29:00Z</cp:lastPrinted>
  <dcterms:created xsi:type="dcterms:W3CDTF">2021-07-02T01:13:00Z</dcterms:created>
  <dcterms:modified xsi:type="dcterms:W3CDTF">2021-07-02T01:13:00Z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