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center"/>
        <w:rPr>
          <w:rFonts w:ascii="宋体" w:hAnsi="宋体" w:cs="宋体"/>
          <w:b/>
          <w:bCs/>
          <w:sz w:val="28"/>
          <w:szCs w:val="28"/>
        </w:rPr>
      </w:pPr>
      <w:bookmarkStart w:id="0" w:name="_GoBack"/>
      <w:bookmarkEnd w:id="0"/>
    </w:p>
    <w:p>
      <w:pPr>
        <w:overflowPunct w:val="0"/>
        <w:jc w:val="center"/>
        <w:rPr>
          <w:rFonts w:ascii="宋体" w:hAnsi="宋体" w:cs="宋体"/>
          <w:b/>
          <w:bCs/>
          <w:sz w:val="28"/>
          <w:szCs w:val="28"/>
        </w:rPr>
      </w:pPr>
      <w:r>
        <w:rPr>
          <w:rFonts w:ascii="宋体" w:hAnsi="宋体" w:cs="宋体"/>
          <w:b/>
          <w:bCs/>
          <w:sz w:val="28"/>
          <w:szCs w:val="28"/>
        </w:rPr>
        <w:t>绿色建筑</w:t>
      </w:r>
      <w:r>
        <w:rPr>
          <w:rFonts w:hint="eastAsia" w:ascii="宋体" w:hAnsi="宋体" w:cs="宋体"/>
          <w:b/>
          <w:bCs/>
          <w:sz w:val="28"/>
          <w:szCs w:val="28"/>
        </w:rPr>
        <w:t>预评价</w:t>
      </w:r>
      <w:r>
        <w:rPr>
          <w:rFonts w:ascii="宋体" w:hAnsi="宋体" w:cs="宋体"/>
          <w:b/>
          <w:bCs/>
          <w:sz w:val="28"/>
          <w:szCs w:val="28"/>
        </w:rPr>
        <w:t>自评表1 - 汇总表</w:t>
      </w:r>
    </w:p>
    <w:p>
      <w:pPr>
        <w:pStyle w:val="13"/>
        <w:ind w:firstLine="400"/>
        <w:rPr>
          <w:rFonts w:ascii="宋体" w:hAnsi="宋体" w:eastAsia="宋体"/>
          <w:lang w:eastAsia="zh-CN"/>
        </w:rPr>
      </w:pPr>
    </w:p>
    <w:tbl>
      <w:tblPr>
        <w:tblStyle w:val="44"/>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16"/>
        <w:gridCol w:w="567"/>
        <w:gridCol w:w="454"/>
        <w:gridCol w:w="992"/>
        <w:gridCol w:w="255"/>
        <w:gridCol w:w="595"/>
        <w:gridCol w:w="993"/>
        <w:gridCol w:w="850"/>
        <w:gridCol w:w="110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371" w:type="dxa"/>
            <w:gridSpan w:val="10"/>
            <w:shd w:val="clear" w:color="auto" w:fill="auto"/>
            <w:vAlign w:val="center"/>
          </w:tcPr>
          <w:p>
            <w:pPr>
              <w:widowControl/>
              <w:jc w:val="center"/>
              <w:rPr>
                <w:rFonts w:ascii="宋体" w:hAnsi="宋体" w:cs="宋体"/>
                <w:b/>
                <w:szCs w:val="21"/>
              </w:rPr>
            </w:pPr>
            <w:r>
              <w:rPr>
                <w:rFonts w:hint="eastAsia" w:ascii="宋体" w:hAnsi="宋体" w:cs="宋体"/>
                <w:b/>
                <w:szCs w:val="21"/>
              </w:rPr>
              <w:t>星级等级评价</w:t>
            </w:r>
            <w:r>
              <w:rPr>
                <w:rFonts w:ascii="宋体" w:hAnsi="宋体" w:cs="宋体"/>
                <w:b/>
                <w:szCs w:val="21"/>
              </w:rPr>
              <w:t>要求</w:t>
            </w:r>
          </w:p>
        </w:tc>
        <w:tc>
          <w:tcPr>
            <w:tcW w:w="1134" w:type="dxa"/>
            <w:shd w:val="clear" w:color="auto" w:fill="auto"/>
            <w:vAlign w:val="center"/>
          </w:tcPr>
          <w:p>
            <w:pPr>
              <w:widowControl/>
              <w:jc w:val="center"/>
              <w:rPr>
                <w:rFonts w:ascii="宋体" w:hAnsi="宋体" w:cs="宋体"/>
                <w:b/>
                <w:szCs w:val="21"/>
              </w:rPr>
            </w:pPr>
            <w:r>
              <w:rPr>
                <w:rFonts w:ascii="宋体" w:hAnsi="宋体" w:cs="宋体"/>
                <w:b/>
                <w:szCs w:val="21"/>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71" w:type="dxa"/>
            <w:gridSpan w:val="10"/>
            <w:shd w:val="clear" w:color="auto" w:fill="auto"/>
            <w:vAlign w:val="center"/>
          </w:tcPr>
          <w:p>
            <w:pPr>
              <w:pStyle w:val="88"/>
              <w:widowControl/>
              <w:numPr>
                <w:ilvl w:val="0"/>
                <w:numId w:val="14"/>
              </w:numPr>
              <w:ind w:firstLineChars="0"/>
              <w:rPr>
                <w:rFonts w:ascii="宋体" w:hAnsi="宋体" w:cs="宋体"/>
                <w:szCs w:val="21"/>
              </w:rPr>
            </w:pPr>
            <w:r>
              <w:rPr>
                <w:rFonts w:ascii="宋体" w:hAnsi="宋体" w:cs="宋体"/>
                <w:szCs w:val="21"/>
              </w:rPr>
              <w:t>绿色建筑均应满足</w:t>
            </w:r>
            <w:r>
              <w:rPr>
                <w:rFonts w:hint="eastAsia" w:ascii="宋体" w:hAnsi="宋体" w:cs="宋体"/>
                <w:szCs w:val="21"/>
              </w:rPr>
              <w:t>《绿色建筑评价标准》GB/T 50378-2019</w:t>
            </w:r>
            <w:r>
              <w:rPr>
                <w:rFonts w:ascii="宋体" w:hAnsi="宋体" w:cs="宋体"/>
                <w:szCs w:val="21"/>
              </w:rPr>
              <w:t>全部控制项的要求，且每类指标的评分项得分不应小于其评分项满分值的30%。</w:t>
            </w:r>
          </w:p>
        </w:tc>
        <w:tc>
          <w:tcPr>
            <w:tcW w:w="1134" w:type="dxa"/>
            <w:shd w:val="clear" w:color="auto" w:fill="auto"/>
            <w:vAlign w:val="center"/>
          </w:tcPr>
          <w:p>
            <w:pPr>
              <w:widowControl/>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371" w:type="dxa"/>
            <w:gridSpan w:val="10"/>
            <w:shd w:val="clear" w:color="auto" w:fill="auto"/>
            <w:noWrap/>
            <w:vAlign w:val="center"/>
          </w:tcPr>
          <w:p>
            <w:pPr>
              <w:pStyle w:val="88"/>
              <w:widowControl/>
              <w:numPr>
                <w:ilvl w:val="0"/>
                <w:numId w:val="14"/>
              </w:numPr>
              <w:ind w:firstLineChars="0"/>
              <w:rPr>
                <w:rFonts w:ascii="宋体" w:hAnsi="宋体" w:cs="宋体"/>
                <w:szCs w:val="21"/>
              </w:rPr>
            </w:pPr>
            <w:r>
              <w:rPr>
                <w:rFonts w:ascii="宋体" w:hAnsi="宋体" w:cs="宋体"/>
                <w:szCs w:val="21"/>
              </w:rPr>
              <w:t>绿色建筑应进行全装修。</w:t>
            </w:r>
          </w:p>
        </w:tc>
        <w:tc>
          <w:tcPr>
            <w:tcW w:w="1134" w:type="dxa"/>
            <w:shd w:val="clear" w:color="auto" w:fill="auto"/>
            <w:vAlign w:val="center"/>
          </w:tcPr>
          <w:p>
            <w:pPr>
              <w:widowControl/>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371" w:type="dxa"/>
            <w:gridSpan w:val="10"/>
            <w:shd w:val="clear" w:color="auto" w:fill="auto"/>
            <w:noWrap/>
            <w:vAlign w:val="center"/>
          </w:tcPr>
          <w:p>
            <w:pPr>
              <w:pStyle w:val="88"/>
              <w:widowControl/>
              <w:numPr>
                <w:ilvl w:val="0"/>
                <w:numId w:val="14"/>
              </w:numPr>
              <w:ind w:firstLineChars="0"/>
              <w:rPr>
                <w:rFonts w:ascii="宋体" w:hAnsi="宋体" w:cs="宋体"/>
                <w:szCs w:val="21"/>
              </w:rPr>
            </w:pPr>
            <w:r>
              <w:rPr>
                <w:rFonts w:ascii="宋体" w:hAnsi="宋体" w:cs="宋体"/>
                <w:szCs w:val="21"/>
              </w:rPr>
              <w:t>技术要求（注：以下各项对应星级均满足</w:t>
            </w:r>
            <w:r>
              <w:rPr>
                <w:rFonts w:hint="eastAsia" w:ascii="宋体" w:hAnsi="宋体" w:cs="宋体"/>
                <w:szCs w:val="21"/>
              </w:rPr>
              <w:t>时</w:t>
            </w:r>
            <w:r>
              <w:rPr>
                <w:rFonts w:ascii="宋体" w:hAnsi="宋体" w:cs="宋体"/>
                <w:szCs w:val="21"/>
              </w:rPr>
              <w:t>，则判定达标）</w:t>
            </w:r>
          </w:p>
        </w:tc>
        <w:tc>
          <w:tcPr>
            <w:tcW w:w="1134" w:type="dxa"/>
            <w:shd w:val="clear" w:color="auto" w:fill="auto"/>
            <w:vAlign w:val="center"/>
          </w:tcPr>
          <w:p>
            <w:pPr>
              <w:widowControl/>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44" w:type="dxa"/>
            <w:vMerge w:val="restart"/>
            <w:shd w:val="clear" w:color="auto" w:fill="auto"/>
            <w:vAlign w:val="center"/>
          </w:tcPr>
          <w:p>
            <w:pPr>
              <w:jc w:val="center"/>
              <w:rPr>
                <w:rFonts w:ascii="宋体" w:hAnsi="宋体" w:cs="宋体"/>
                <w:szCs w:val="21"/>
              </w:rPr>
            </w:pPr>
            <w:r>
              <w:rPr>
                <w:rFonts w:ascii="宋体" w:hAnsi="宋体" w:cs="宋体"/>
                <w:szCs w:val="21"/>
              </w:rPr>
              <w:t>技术要求内容</w:t>
            </w:r>
          </w:p>
        </w:tc>
        <w:tc>
          <w:tcPr>
            <w:tcW w:w="1483" w:type="dxa"/>
            <w:gridSpan w:val="2"/>
            <w:vMerge w:val="restart"/>
            <w:shd w:val="clear" w:color="auto" w:fill="auto"/>
            <w:vAlign w:val="center"/>
          </w:tcPr>
          <w:p>
            <w:pPr>
              <w:widowControl/>
              <w:rPr>
                <w:rFonts w:ascii="宋体" w:hAnsi="宋体" w:cs="宋体"/>
                <w:szCs w:val="21"/>
              </w:rPr>
            </w:pPr>
            <w:r>
              <w:rPr>
                <w:rFonts w:ascii="宋体" w:hAnsi="宋体" w:cs="宋体"/>
                <w:szCs w:val="21"/>
              </w:rPr>
              <w:t>围护结构热工性能提高比例，或建筑供暖空调负荷降低比例</w:t>
            </w:r>
          </w:p>
        </w:tc>
        <w:tc>
          <w:tcPr>
            <w:tcW w:w="1701" w:type="dxa"/>
            <w:gridSpan w:val="3"/>
            <w:shd w:val="clear" w:color="auto" w:fill="auto"/>
            <w:vAlign w:val="center"/>
          </w:tcPr>
          <w:p>
            <w:pPr>
              <w:widowControl/>
              <w:jc w:val="center"/>
              <w:rPr>
                <w:rFonts w:ascii="宋体" w:hAnsi="宋体" w:cs="宋体"/>
                <w:szCs w:val="21"/>
              </w:rPr>
            </w:pPr>
            <w:r>
              <w:rPr>
                <w:rFonts w:ascii="宋体" w:hAnsi="宋体" w:cs="宋体"/>
                <w:szCs w:val="21"/>
              </w:rPr>
              <w:t>一星</w:t>
            </w:r>
            <w:r>
              <w:rPr>
                <w:rFonts w:hint="eastAsia" w:ascii="宋体" w:hAnsi="宋体" w:cs="宋体"/>
                <w:szCs w:val="21"/>
              </w:rPr>
              <w:t>级</w:t>
            </w:r>
          </w:p>
        </w:tc>
        <w:tc>
          <w:tcPr>
            <w:tcW w:w="3543" w:type="dxa"/>
            <w:gridSpan w:val="4"/>
            <w:shd w:val="clear" w:color="auto" w:fill="auto"/>
            <w:vAlign w:val="center"/>
          </w:tcPr>
          <w:p>
            <w:pPr>
              <w:widowControl/>
              <w:rPr>
                <w:rFonts w:ascii="宋体" w:hAnsi="宋体" w:cs="宋体"/>
                <w:szCs w:val="21"/>
              </w:rPr>
            </w:pPr>
            <w:r>
              <w:rPr>
                <w:rFonts w:ascii="宋体" w:hAnsi="宋体" w:cs="宋体"/>
                <w:szCs w:val="21"/>
              </w:rPr>
              <w:t>围护结构提高5%，或负荷降低5%</w:t>
            </w:r>
          </w:p>
        </w:tc>
        <w:tc>
          <w:tcPr>
            <w:tcW w:w="1134" w:type="dxa"/>
            <w:shd w:val="clear" w:color="auto" w:fill="auto"/>
            <w:vAlign w:val="center"/>
          </w:tcPr>
          <w:p>
            <w:pPr>
              <w:widowControl/>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44" w:type="dxa"/>
            <w:vMerge w:val="continue"/>
            <w:shd w:val="clear" w:color="auto" w:fill="auto"/>
            <w:vAlign w:val="center"/>
          </w:tcPr>
          <w:p>
            <w:pPr>
              <w:jc w:val="center"/>
              <w:rPr>
                <w:rFonts w:ascii="宋体" w:hAnsi="宋体" w:cs="宋体"/>
                <w:szCs w:val="21"/>
              </w:rPr>
            </w:pPr>
          </w:p>
        </w:tc>
        <w:tc>
          <w:tcPr>
            <w:tcW w:w="1483" w:type="dxa"/>
            <w:gridSpan w:val="2"/>
            <w:vMerge w:val="continue"/>
            <w:shd w:val="clear" w:color="auto" w:fill="auto"/>
            <w:vAlign w:val="center"/>
          </w:tcPr>
          <w:p>
            <w:pPr>
              <w:widowControl/>
              <w:rPr>
                <w:rFonts w:ascii="宋体" w:hAnsi="宋体" w:cs="宋体"/>
                <w:szCs w:val="21"/>
              </w:rPr>
            </w:pPr>
          </w:p>
        </w:tc>
        <w:tc>
          <w:tcPr>
            <w:tcW w:w="1701" w:type="dxa"/>
            <w:gridSpan w:val="3"/>
            <w:shd w:val="clear" w:color="auto" w:fill="auto"/>
            <w:vAlign w:val="center"/>
          </w:tcPr>
          <w:p>
            <w:pPr>
              <w:widowControl/>
              <w:jc w:val="center"/>
              <w:rPr>
                <w:rFonts w:ascii="宋体" w:hAnsi="宋体" w:cs="宋体"/>
                <w:szCs w:val="21"/>
              </w:rPr>
            </w:pPr>
            <w:r>
              <w:rPr>
                <w:rFonts w:ascii="宋体" w:hAnsi="宋体" w:cs="宋体"/>
                <w:szCs w:val="21"/>
              </w:rPr>
              <w:t>二星</w:t>
            </w:r>
            <w:r>
              <w:rPr>
                <w:rFonts w:hint="eastAsia" w:ascii="宋体" w:hAnsi="宋体" w:cs="宋体"/>
                <w:szCs w:val="21"/>
              </w:rPr>
              <w:t>级</w:t>
            </w:r>
          </w:p>
        </w:tc>
        <w:tc>
          <w:tcPr>
            <w:tcW w:w="3543" w:type="dxa"/>
            <w:gridSpan w:val="4"/>
            <w:shd w:val="clear" w:color="auto" w:fill="auto"/>
            <w:vAlign w:val="center"/>
          </w:tcPr>
          <w:p>
            <w:pPr>
              <w:widowControl/>
              <w:rPr>
                <w:rFonts w:ascii="宋体" w:hAnsi="宋体" w:cs="宋体"/>
                <w:szCs w:val="21"/>
              </w:rPr>
            </w:pPr>
            <w:r>
              <w:rPr>
                <w:rFonts w:ascii="宋体" w:hAnsi="宋体" w:cs="宋体"/>
                <w:szCs w:val="21"/>
              </w:rPr>
              <w:t>围护结构提高10%，或负荷降低10%</w:t>
            </w:r>
          </w:p>
        </w:tc>
        <w:tc>
          <w:tcPr>
            <w:tcW w:w="1134" w:type="dxa"/>
            <w:shd w:val="clear" w:color="auto" w:fill="auto"/>
            <w:vAlign w:val="center"/>
          </w:tcPr>
          <w:p>
            <w:pPr>
              <w:widowControl/>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44" w:type="dxa"/>
            <w:vMerge w:val="continue"/>
            <w:shd w:val="clear" w:color="auto" w:fill="auto"/>
            <w:vAlign w:val="center"/>
          </w:tcPr>
          <w:p>
            <w:pPr>
              <w:jc w:val="center"/>
              <w:rPr>
                <w:rFonts w:ascii="宋体" w:hAnsi="宋体" w:cs="宋体"/>
                <w:szCs w:val="21"/>
              </w:rPr>
            </w:pPr>
          </w:p>
        </w:tc>
        <w:tc>
          <w:tcPr>
            <w:tcW w:w="1483" w:type="dxa"/>
            <w:gridSpan w:val="2"/>
            <w:vMerge w:val="continue"/>
            <w:shd w:val="clear" w:color="auto" w:fill="auto"/>
            <w:vAlign w:val="center"/>
          </w:tcPr>
          <w:p>
            <w:pPr>
              <w:widowControl/>
              <w:rPr>
                <w:rFonts w:ascii="宋体" w:hAnsi="宋体" w:cs="宋体"/>
                <w:szCs w:val="21"/>
              </w:rPr>
            </w:pPr>
          </w:p>
        </w:tc>
        <w:tc>
          <w:tcPr>
            <w:tcW w:w="1701" w:type="dxa"/>
            <w:gridSpan w:val="3"/>
            <w:shd w:val="clear" w:color="auto" w:fill="auto"/>
            <w:vAlign w:val="center"/>
          </w:tcPr>
          <w:p>
            <w:pPr>
              <w:widowControl/>
              <w:jc w:val="center"/>
              <w:rPr>
                <w:rFonts w:ascii="宋体" w:hAnsi="宋体" w:cs="宋体"/>
                <w:szCs w:val="21"/>
              </w:rPr>
            </w:pPr>
            <w:r>
              <w:rPr>
                <w:rFonts w:ascii="宋体" w:hAnsi="宋体" w:cs="宋体"/>
                <w:szCs w:val="21"/>
              </w:rPr>
              <w:t>三星</w:t>
            </w:r>
            <w:r>
              <w:rPr>
                <w:rFonts w:hint="eastAsia" w:ascii="宋体" w:hAnsi="宋体" w:cs="宋体"/>
                <w:szCs w:val="21"/>
              </w:rPr>
              <w:t>级</w:t>
            </w:r>
          </w:p>
        </w:tc>
        <w:tc>
          <w:tcPr>
            <w:tcW w:w="3543" w:type="dxa"/>
            <w:gridSpan w:val="4"/>
            <w:shd w:val="clear" w:color="auto" w:fill="auto"/>
            <w:vAlign w:val="center"/>
          </w:tcPr>
          <w:p>
            <w:pPr>
              <w:widowControl/>
              <w:rPr>
                <w:rFonts w:ascii="宋体" w:hAnsi="宋体" w:cs="宋体"/>
                <w:szCs w:val="21"/>
              </w:rPr>
            </w:pPr>
            <w:r>
              <w:rPr>
                <w:rFonts w:ascii="宋体" w:hAnsi="宋体" w:cs="宋体"/>
                <w:szCs w:val="21"/>
              </w:rPr>
              <w:t>围护结构提高20%，或负荷降低15%</w:t>
            </w:r>
          </w:p>
        </w:tc>
        <w:tc>
          <w:tcPr>
            <w:tcW w:w="1134" w:type="dxa"/>
            <w:shd w:val="clear" w:color="auto" w:fill="auto"/>
            <w:vAlign w:val="center"/>
          </w:tcPr>
          <w:p>
            <w:pPr>
              <w:widowControl/>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44" w:type="dxa"/>
            <w:vMerge w:val="continue"/>
            <w:shd w:val="clear" w:color="auto" w:fill="auto"/>
            <w:vAlign w:val="center"/>
          </w:tcPr>
          <w:p>
            <w:pPr>
              <w:jc w:val="center"/>
              <w:rPr>
                <w:rFonts w:ascii="宋体" w:hAnsi="宋体" w:cs="宋体"/>
                <w:szCs w:val="21"/>
              </w:rPr>
            </w:pPr>
          </w:p>
        </w:tc>
        <w:tc>
          <w:tcPr>
            <w:tcW w:w="1483" w:type="dxa"/>
            <w:gridSpan w:val="2"/>
            <w:vMerge w:val="restart"/>
            <w:shd w:val="clear" w:color="auto" w:fill="auto"/>
            <w:vAlign w:val="center"/>
          </w:tcPr>
          <w:p>
            <w:pPr>
              <w:rPr>
                <w:rFonts w:ascii="宋体" w:hAnsi="宋体" w:cs="宋体"/>
                <w:szCs w:val="21"/>
              </w:rPr>
            </w:pPr>
            <w:r>
              <w:rPr>
                <w:rFonts w:ascii="宋体" w:hAnsi="宋体" w:cs="宋体"/>
                <w:szCs w:val="21"/>
              </w:rPr>
              <w:t>节水器具</w:t>
            </w:r>
          </w:p>
          <w:p>
            <w:pPr>
              <w:rPr>
                <w:rFonts w:ascii="宋体" w:hAnsi="宋体" w:cs="宋体"/>
                <w:szCs w:val="21"/>
              </w:rPr>
            </w:pPr>
            <w:r>
              <w:rPr>
                <w:rFonts w:ascii="宋体" w:hAnsi="宋体" w:cs="宋体"/>
                <w:szCs w:val="21"/>
              </w:rPr>
              <w:t>用水效率等级</w:t>
            </w:r>
          </w:p>
        </w:tc>
        <w:tc>
          <w:tcPr>
            <w:tcW w:w="1701" w:type="dxa"/>
            <w:gridSpan w:val="3"/>
            <w:shd w:val="clear" w:color="auto" w:fill="auto"/>
            <w:noWrap/>
            <w:vAlign w:val="center"/>
          </w:tcPr>
          <w:p>
            <w:pPr>
              <w:widowControl/>
              <w:jc w:val="center"/>
              <w:rPr>
                <w:rFonts w:ascii="宋体" w:hAnsi="宋体" w:cs="宋体"/>
                <w:szCs w:val="21"/>
              </w:rPr>
            </w:pPr>
            <w:r>
              <w:rPr>
                <w:rFonts w:ascii="宋体" w:hAnsi="宋体" w:cs="宋体"/>
                <w:szCs w:val="21"/>
              </w:rPr>
              <w:t>一星</w:t>
            </w:r>
            <w:r>
              <w:rPr>
                <w:rFonts w:hint="eastAsia" w:ascii="宋体" w:hAnsi="宋体" w:cs="宋体"/>
                <w:szCs w:val="21"/>
              </w:rPr>
              <w:t>级</w:t>
            </w:r>
          </w:p>
        </w:tc>
        <w:tc>
          <w:tcPr>
            <w:tcW w:w="3543" w:type="dxa"/>
            <w:gridSpan w:val="4"/>
            <w:shd w:val="clear" w:color="auto" w:fill="auto"/>
            <w:vAlign w:val="center"/>
          </w:tcPr>
          <w:p>
            <w:pPr>
              <w:widowControl/>
              <w:jc w:val="center"/>
              <w:rPr>
                <w:rFonts w:ascii="宋体" w:hAnsi="宋体" w:cs="宋体"/>
                <w:szCs w:val="21"/>
              </w:rPr>
            </w:pPr>
            <w:r>
              <w:rPr>
                <w:rFonts w:ascii="宋体" w:hAnsi="宋体" w:cs="宋体"/>
                <w:szCs w:val="21"/>
              </w:rPr>
              <w:t>3级</w:t>
            </w:r>
          </w:p>
        </w:tc>
        <w:tc>
          <w:tcPr>
            <w:tcW w:w="1134" w:type="dxa"/>
            <w:shd w:val="clear" w:color="auto" w:fill="auto"/>
            <w:vAlign w:val="center"/>
          </w:tcPr>
          <w:p>
            <w:pPr>
              <w:widowControl/>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44" w:type="dxa"/>
            <w:vMerge w:val="continue"/>
            <w:shd w:val="clear" w:color="auto" w:fill="auto"/>
            <w:vAlign w:val="center"/>
          </w:tcPr>
          <w:p>
            <w:pPr>
              <w:jc w:val="center"/>
              <w:rPr>
                <w:rFonts w:ascii="宋体" w:hAnsi="宋体" w:cs="宋体"/>
                <w:szCs w:val="21"/>
              </w:rPr>
            </w:pPr>
          </w:p>
        </w:tc>
        <w:tc>
          <w:tcPr>
            <w:tcW w:w="1483" w:type="dxa"/>
            <w:gridSpan w:val="2"/>
            <w:vMerge w:val="continue"/>
            <w:shd w:val="clear" w:color="auto" w:fill="auto"/>
            <w:vAlign w:val="center"/>
          </w:tcPr>
          <w:p>
            <w:pPr>
              <w:widowControl/>
              <w:rPr>
                <w:rFonts w:ascii="宋体" w:hAnsi="宋体" w:cs="宋体"/>
                <w:szCs w:val="21"/>
              </w:rPr>
            </w:pPr>
          </w:p>
        </w:tc>
        <w:tc>
          <w:tcPr>
            <w:tcW w:w="1701" w:type="dxa"/>
            <w:gridSpan w:val="3"/>
            <w:shd w:val="clear" w:color="auto" w:fill="auto"/>
            <w:noWrap/>
            <w:vAlign w:val="center"/>
          </w:tcPr>
          <w:p>
            <w:pPr>
              <w:widowControl/>
              <w:jc w:val="center"/>
              <w:rPr>
                <w:rFonts w:ascii="宋体" w:hAnsi="宋体" w:cs="宋体"/>
                <w:szCs w:val="21"/>
              </w:rPr>
            </w:pPr>
            <w:r>
              <w:rPr>
                <w:rFonts w:ascii="宋体" w:hAnsi="宋体" w:cs="宋体"/>
                <w:szCs w:val="21"/>
              </w:rPr>
              <w:t>二星</w:t>
            </w:r>
            <w:r>
              <w:rPr>
                <w:rFonts w:hint="eastAsia" w:ascii="宋体" w:hAnsi="宋体" w:cs="宋体"/>
                <w:szCs w:val="21"/>
              </w:rPr>
              <w:t>级</w:t>
            </w:r>
            <w:r>
              <w:rPr>
                <w:rFonts w:ascii="宋体" w:hAnsi="宋体" w:cs="宋体"/>
                <w:szCs w:val="21"/>
              </w:rPr>
              <w:t>、三星</w:t>
            </w:r>
            <w:r>
              <w:rPr>
                <w:rFonts w:hint="eastAsia" w:ascii="宋体" w:hAnsi="宋体" w:cs="宋体"/>
                <w:szCs w:val="21"/>
              </w:rPr>
              <w:t>级</w:t>
            </w:r>
          </w:p>
        </w:tc>
        <w:tc>
          <w:tcPr>
            <w:tcW w:w="3543" w:type="dxa"/>
            <w:gridSpan w:val="4"/>
            <w:shd w:val="clear" w:color="auto" w:fill="auto"/>
            <w:vAlign w:val="center"/>
          </w:tcPr>
          <w:p>
            <w:pPr>
              <w:widowControl/>
              <w:jc w:val="center"/>
              <w:rPr>
                <w:rFonts w:ascii="宋体" w:hAnsi="宋体" w:cs="宋体"/>
                <w:szCs w:val="21"/>
              </w:rPr>
            </w:pPr>
            <w:r>
              <w:rPr>
                <w:rFonts w:ascii="宋体" w:hAnsi="宋体" w:cs="宋体"/>
                <w:szCs w:val="21"/>
              </w:rPr>
              <w:t>2级</w:t>
            </w:r>
          </w:p>
        </w:tc>
        <w:tc>
          <w:tcPr>
            <w:tcW w:w="1134" w:type="dxa"/>
            <w:shd w:val="clear" w:color="auto" w:fill="auto"/>
            <w:vAlign w:val="center"/>
          </w:tcPr>
          <w:p>
            <w:pPr>
              <w:widowControl/>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644" w:type="dxa"/>
            <w:vMerge w:val="continue"/>
            <w:shd w:val="clear" w:color="auto" w:fill="auto"/>
            <w:vAlign w:val="center"/>
          </w:tcPr>
          <w:p>
            <w:pPr>
              <w:jc w:val="center"/>
              <w:rPr>
                <w:rFonts w:ascii="宋体" w:hAnsi="宋体" w:cs="宋体"/>
                <w:szCs w:val="21"/>
              </w:rPr>
            </w:pPr>
          </w:p>
        </w:tc>
        <w:tc>
          <w:tcPr>
            <w:tcW w:w="1483" w:type="dxa"/>
            <w:gridSpan w:val="2"/>
            <w:vMerge w:val="restart"/>
            <w:shd w:val="clear" w:color="auto" w:fill="auto"/>
            <w:vAlign w:val="center"/>
          </w:tcPr>
          <w:p>
            <w:pPr>
              <w:rPr>
                <w:rFonts w:ascii="宋体" w:hAnsi="宋体" w:cs="宋体"/>
                <w:szCs w:val="21"/>
              </w:rPr>
            </w:pPr>
            <w:r>
              <w:rPr>
                <w:rFonts w:ascii="宋体" w:hAnsi="宋体" w:cs="宋体"/>
                <w:szCs w:val="21"/>
              </w:rPr>
              <w:t>住宅建筑</w:t>
            </w:r>
          </w:p>
          <w:p>
            <w:pPr>
              <w:rPr>
                <w:rFonts w:ascii="宋体" w:hAnsi="宋体" w:cs="宋体"/>
                <w:szCs w:val="21"/>
              </w:rPr>
            </w:pPr>
            <w:r>
              <w:rPr>
                <w:rFonts w:ascii="宋体" w:hAnsi="宋体" w:cs="宋体"/>
                <w:szCs w:val="21"/>
              </w:rPr>
              <w:t>隔声性能</w:t>
            </w:r>
          </w:p>
        </w:tc>
        <w:tc>
          <w:tcPr>
            <w:tcW w:w="1701" w:type="dxa"/>
            <w:gridSpan w:val="3"/>
            <w:shd w:val="clear" w:color="auto" w:fill="auto"/>
            <w:noWrap/>
            <w:vAlign w:val="center"/>
          </w:tcPr>
          <w:p>
            <w:pPr>
              <w:widowControl/>
              <w:jc w:val="center"/>
              <w:rPr>
                <w:rFonts w:ascii="宋体" w:hAnsi="宋体" w:cs="宋体"/>
                <w:szCs w:val="21"/>
              </w:rPr>
            </w:pPr>
            <w:r>
              <w:rPr>
                <w:rFonts w:ascii="宋体" w:hAnsi="宋体" w:cs="宋体"/>
                <w:szCs w:val="21"/>
              </w:rPr>
              <w:t>二星</w:t>
            </w:r>
            <w:r>
              <w:rPr>
                <w:rFonts w:hint="eastAsia" w:ascii="宋体" w:hAnsi="宋体" w:cs="宋体"/>
                <w:szCs w:val="21"/>
              </w:rPr>
              <w:t>级</w:t>
            </w:r>
          </w:p>
        </w:tc>
        <w:tc>
          <w:tcPr>
            <w:tcW w:w="3543" w:type="dxa"/>
            <w:gridSpan w:val="4"/>
            <w:shd w:val="clear" w:color="auto" w:fill="auto"/>
            <w:vAlign w:val="center"/>
          </w:tcPr>
          <w:p>
            <w:pPr>
              <w:widowControl/>
              <w:rPr>
                <w:rFonts w:ascii="宋体" w:hAnsi="宋体" w:cs="宋体"/>
                <w:szCs w:val="21"/>
              </w:rPr>
            </w:pPr>
            <w:r>
              <w:rPr>
                <w:rFonts w:ascii="宋体" w:hAnsi="宋体" w:cs="宋体"/>
                <w:szCs w:val="21"/>
              </w:rPr>
              <w:t>室外与卧室之间、分户墙（楼板）两侧卧室之间的空气声隔声性能以及卧室楼板的撞击声隔声性能达到低限标准限值和高要求标准限值的平均值</w:t>
            </w:r>
          </w:p>
        </w:tc>
        <w:tc>
          <w:tcPr>
            <w:tcW w:w="1134" w:type="dxa"/>
            <w:shd w:val="clear" w:color="auto" w:fill="auto"/>
            <w:vAlign w:val="center"/>
          </w:tcPr>
          <w:p>
            <w:pPr>
              <w:widowControl/>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644" w:type="dxa"/>
            <w:vMerge w:val="continue"/>
            <w:shd w:val="clear" w:color="auto" w:fill="auto"/>
            <w:vAlign w:val="center"/>
          </w:tcPr>
          <w:p>
            <w:pPr>
              <w:jc w:val="center"/>
              <w:rPr>
                <w:rFonts w:ascii="宋体" w:hAnsi="宋体" w:cs="宋体"/>
                <w:szCs w:val="21"/>
              </w:rPr>
            </w:pPr>
          </w:p>
        </w:tc>
        <w:tc>
          <w:tcPr>
            <w:tcW w:w="1483" w:type="dxa"/>
            <w:gridSpan w:val="2"/>
            <w:vMerge w:val="continue"/>
            <w:shd w:val="clear" w:color="auto" w:fill="auto"/>
            <w:vAlign w:val="center"/>
          </w:tcPr>
          <w:p>
            <w:pPr>
              <w:widowControl/>
              <w:rPr>
                <w:rFonts w:ascii="宋体" w:hAnsi="宋体" w:cs="宋体"/>
                <w:szCs w:val="21"/>
              </w:rPr>
            </w:pPr>
          </w:p>
        </w:tc>
        <w:tc>
          <w:tcPr>
            <w:tcW w:w="1701" w:type="dxa"/>
            <w:gridSpan w:val="3"/>
            <w:shd w:val="clear" w:color="auto" w:fill="auto"/>
            <w:noWrap/>
            <w:vAlign w:val="center"/>
          </w:tcPr>
          <w:p>
            <w:pPr>
              <w:widowControl/>
              <w:jc w:val="center"/>
              <w:rPr>
                <w:rFonts w:ascii="宋体" w:hAnsi="宋体" w:cs="宋体"/>
                <w:szCs w:val="21"/>
              </w:rPr>
            </w:pPr>
            <w:r>
              <w:rPr>
                <w:rFonts w:ascii="宋体" w:hAnsi="宋体" w:cs="宋体"/>
                <w:szCs w:val="21"/>
              </w:rPr>
              <w:t>三星</w:t>
            </w:r>
            <w:r>
              <w:rPr>
                <w:rFonts w:hint="eastAsia" w:ascii="宋体" w:hAnsi="宋体" w:cs="宋体"/>
                <w:szCs w:val="21"/>
              </w:rPr>
              <w:t>级</w:t>
            </w:r>
          </w:p>
        </w:tc>
        <w:tc>
          <w:tcPr>
            <w:tcW w:w="3543" w:type="dxa"/>
            <w:gridSpan w:val="4"/>
            <w:shd w:val="clear" w:color="auto" w:fill="auto"/>
            <w:vAlign w:val="center"/>
          </w:tcPr>
          <w:p>
            <w:pPr>
              <w:widowControl/>
              <w:rPr>
                <w:rFonts w:ascii="宋体" w:hAnsi="宋体" w:cs="宋体"/>
                <w:szCs w:val="21"/>
              </w:rPr>
            </w:pPr>
            <w:r>
              <w:rPr>
                <w:rFonts w:ascii="宋体" w:hAnsi="宋体" w:cs="宋体"/>
                <w:szCs w:val="21"/>
              </w:rPr>
              <w:t>室外与卧室之间、分户墙（楼板）两侧卧室之间的空气声隔声性能以及卧室楼板的撞击声隔声性能达到高要求标准限值</w:t>
            </w:r>
          </w:p>
        </w:tc>
        <w:tc>
          <w:tcPr>
            <w:tcW w:w="1134" w:type="dxa"/>
            <w:shd w:val="clear" w:color="auto" w:fill="auto"/>
            <w:vAlign w:val="center"/>
          </w:tcPr>
          <w:p>
            <w:pPr>
              <w:widowControl/>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44" w:type="dxa"/>
            <w:vMerge w:val="continue"/>
            <w:shd w:val="clear" w:color="auto" w:fill="auto"/>
            <w:vAlign w:val="center"/>
          </w:tcPr>
          <w:p>
            <w:pPr>
              <w:widowControl/>
              <w:jc w:val="center"/>
              <w:rPr>
                <w:rFonts w:ascii="宋体" w:hAnsi="宋体" w:cs="宋体"/>
                <w:szCs w:val="21"/>
              </w:rPr>
            </w:pPr>
          </w:p>
        </w:tc>
        <w:tc>
          <w:tcPr>
            <w:tcW w:w="1483" w:type="dxa"/>
            <w:gridSpan w:val="2"/>
            <w:vMerge w:val="restart"/>
            <w:shd w:val="clear" w:color="auto" w:fill="auto"/>
            <w:vAlign w:val="center"/>
          </w:tcPr>
          <w:p>
            <w:pPr>
              <w:widowControl/>
              <w:rPr>
                <w:rFonts w:ascii="宋体" w:hAnsi="宋体" w:cs="宋体"/>
                <w:szCs w:val="21"/>
              </w:rPr>
            </w:pPr>
            <w:r>
              <w:rPr>
                <w:rFonts w:ascii="宋体" w:hAnsi="宋体" w:cs="宋体"/>
                <w:szCs w:val="21"/>
              </w:rPr>
              <w:t>室内主要空气污染物浓度降低比例</w:t>
            </w:r>
          </w:p>
        </w:tc>
        <w:tc>
          <w:tcPr>
            <w:tcW w:w="1701" w:type="dxa"/>
            <w:gridSpan w:val="3"/>
            <w:shd w:val="clear" w:color="auto" w:fill="auto"/>
            <w:noWrap/>
            <w:vAlign w:val="center"/>
          </w:tcPr>
          <w:p>
            <w:pPr>
              <w:widowControl/>
              <w:jc w:val="center"/>
              <w:rPr>
                <w:rFonts w:ascii="宋体" w:hAnsi="宋体" w:cs="宋体"/>
                <w:szCs w:val="21"/>
              </w:rPr>
            </w:pPr>
            <w:r>
              <w:rPr>
                <w:rFonts w:ascii="宋体" w:hAnsi="宋体" w:cs="宋体"/>
                <w:szCs w:val="21"/>
              </w:rPr>
              <w:t>一星</w:t>
            </w:r>
            <w:r>
              <w:rPr>
                <w:rFonts w:hint="eastAsia" w:ascii="宋体" w:hAnsi="宋体" w:cs="宋体"/>
                <w:szCs w:val="21"/>
              </w:rPr>
              <w:t>级</w:t>
            </w:r>
          </w:p>
        </w:tc>
        <w:tc>
          <w:tcPr>
            <w:tcW w:w="3543" w:type="dxa"/>
            <w:gridSpan w:val="4"/>
            <w:shd w:val="clear" w:color="auto" w:fill="auto"/>
            <w:vAlign w:val="center"/>
          </w:tcPr>
          <w:p>
            <w:pPr>
              <w:widowControl/>
              <w:jc w:val="center"/>
              <w:rPr>
                <w:rFonts w:ascii="宋体" w:hAnsi="宋体" w:cs="宋体"/>
                <w:szCs w:val="21"/>
              </w:rPr>
            </w:pPr>
            <w:r>
              <w:rPr>
                <w:rFonts w:ascii="宋体" w:hAnsi="宋体" w:cs="宋体"/>
                <w:szCs w:val="21"/>
              </w:rPr>
              <w:t>10%</w:t>
            </w:r>
          </w:p>
        </w:tc>
        <w:tc>
          <w:tcPr>
            <w:tcW w:w="1134" w:type="dxa"/>
            <w:shd w:val="clear" w:color="auto" w:fill="auto"/>
            <w:vAlign w:val="center"/>
          </w:tcPr>
          <w:p>
            <w:pPr>
              <w:widowControl/>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644" w:type="dxa"/>
            <w:vMerge w:val="continue"/>
            <w:shd w:val="clear" w:color="auto" w:fill="auto"/>
            <w:vAlign w:val="center"/>
          </w:tcPr>
          <w:p>
            <w:pPr>
              <w:widowControl/>
              <w:jc w:val="center"/>
              <w:rPr>
                <w:rFonts w:ascii="宋体" w:hAnsi="宋体" w:cs="宋体"/>
                <w:szCs w:val="21"/>
              </w:rPr>
            </w:pPr>
          </w:p>
        </w:tc>
        <w:tc>
          <w:tcPr>
            <w:tcW w:w="1483" w:type="dxa"/>
            <w:gridSpan w:val="2"/>
            <w:vMerge w:val="continue"/>
            <w:shd w:val="clear" w:color="auto" w:fill="auto"/>
            <w:vAlign w:val="center"/>
          </w:tcPr>
          <w:p>
            <w:pPr>
              <w:widowControl/>
              <w:rPr>
                <w:rFonts w:ascii="宋体" w:hAnsi="宋体" w:cs="宋体"/>
                <w:szCs w:val="21"/>
              </w:rPr>
            </w:pPr>
          </w:p>
        </w:tc>
        <w:tc>
          <w:tcPr>
            <w:tcW w:w="1701" w:type="dxa"/>
            <w:gridSpan w:val="3"/>
            <w:shd w:val="clear" w:color="auto" w:fill="auto"/>
            <w:noWrap/>
            <w:vAlign w:val="center"/>
          </w:tcPr>
          <w:p>
            <w:pPr>
              <w:widowControl/>
              <w:jc w:val="center"/>
              <w:rPr>
                <w:rFonts w:ascii="宋体" w:hAnsi="宋体" w:cs="宋体"/>
                <w:szCs w:val="21"/>
              </w:rPr>
            </w:pPr>
            <w:r>
              <w:rPr>
                <w:rFonts w:ascii="宋体" w:hAnsi="宋体" w:cs="宋体"/>
                <w:szCs w:val="21"/>
              </w:rPr>
              <w:t>二星</w:t>
            </w:r>
            <w:r>
              <w:rPr>
                <w:rFonts w:hint="eastAsia" w:ascii="宋体" w:hAnsi="宋体" w:cs="宋体"/>
                <w:szCs w:val="21"/>
              </w:rPr>
              <w:t>级</w:t>
            </w:r>
            <w:r>
              <w:rPr>
                <w:rFonts w:ascii="宋体" w:hAnsi="宋体" w:cs="宋体"/>
                <w:szCs w:val="21"/>
              </w:rPr>
              <w:t>、三星</w:t>
            </w:r>
            <w:r>
              <w:rPr>
                <w:rFonts w:hint="eastAsia" w:ascii="宋体" w:hAnsi="宋体" w:cs="宋体"/>
                <w:szCs w:val="21"/>
              </w:rPr>
              <w:t>级</w:t>
            </w:r>
          </w:p>
        </w:tc>
        <w:tc>
          <w:tcPr>
            <w:tcW w:w="3543" w:type="dxa"/>
            <w:gridSpan w:val="4"/>
            <w:shd w:val="clear" w:color="auto" w:fill="auto"/>
            <w:vAlign w:val="center"/>
          </w:tcPr>
          <w:p>
            <w:pPr>
              <w:widowControl/>
              <w:jc w:val="center"/>
              <w:rPr>
                <w:rFonts w:ascii="宋体" w:hAnsi="宋体" w:cs="宋体"/>
                <w:szCs w:val="21"/>
              </w:rPr>
            </w:pPr>
            <w:r>
              <w:rPr>
                <w:rFonts w:ascii="宋体" w:hAnsi="宋体" w:cs="宋体"/>
                <w:szCs w:val="21"/>
              </w:rPr>
              <w:t>20%</w:t>
            </w:r>
          </w:p>
        </w:tc>
        <w:tc>
          <w:tcPr>
            <w:tcW w:w="1134" w:type="dxa"/>
            <w:shd w:val="clear" w:color="auto" w:fill="auto"/>
            <w:vAlign w:val="center"/>
          </w:tcPr>
          <w:p>
            <w:pPr>
              <w:widowControl/>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4" w:type="dxa"/>
            <w:vMerge w:val="continue"/>
            <w:shd w:val="clear" w:color="auto" w:fill="auto"/>
            <w:vAlign w:val="center"/>
          </w:tcPr>
          <w:p>
            <w:pPr>
              <w:widowControl/>
              <w:jc w:val="center"/>
              <w:rPr>
                <w:rFonts w:ascii="宋体" w:hAnsi="宋体" w:cs="宋体"/>
                <w:szCs w:val="21"/>
              </w:rPr>
            </w:pPr>
          </w:p>
        </w:tc>
        <w:tc>
          <w:tcPr>
            <w:tcW w:w="1483" w:type="dxa"/>
            <w:gridSpan w:val="2"/>
            <w:shd w:val="clear" w:color="auto" w:fill="auto"/>
            <w:vAlign w:val="center"/>
          </w:tcPr>
          <w:p>
            <w:pPr>
              <w:rPr>
                <w:rFonts w:ascii="宋体" w:hAnsi="宋体" w:cs="宋体"/>
                <w:szCs w:val="21"/>
              </w:rPr>
            </w:pPr>
            <w:r>
              <w:rPr>
                <w:rFonts w:ascii="宋体" w:hAnsi="宋体" w:cs="宋体"/>
                <w:szCs w:val="21"/>
              </w:rPr>
              <w:t>外窗气密性能</w:t>
            </w:r>
          </w:p>
        </w:tc>
        <w:tc>
          <w:tcPr>
            <w:tcW w:w="5244" w:type="dxa"/>
            <w:gridSpan w:val="7"/>
            <w:shd w:val="clear" w:color="auto" w:fill="auto"/>
            <w:noWrap/>
            <w:vAlign w:val="center"/>
          </w:tcPr>
          <w:p>
            <w:pPr>
              <w:widowControl/>
              <w:jc w:val="center"/>
              <w:rPr>
                <w:rFonts w:ascii="宋体" w:hAnsi="宋体" w:cs="宋体"/>
                <w:szCs w:val="21"/>
              </w:rPr>
            </w:pPr>
            <w:r>
              <w:rPr>
                <w:rFonts w:ascii="宋体" w:hAnsi="宋体" w:cs="宋体"/>
                <w:szCs w:val="21"/>
              </w:rPr>
              <w:t>符合国家现行相关节能设计标准的规定，且外窗洞口与外窗本体的结合部位应严密</w:t>
            </w:r>
          </w:p>
        </w:tc>
        <w:tc>
          <w:tcPr>
            <w:tcW w:w="1134" w:type="dxa"/>
            <w:shd w:val="clear" w:color="auto" w:fill="auto"/>
            <w:vAlign w:val="center"/>
          </w:tcPr>
          <w:p>
            <w:pPr>
              <w:widowControl/>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505" w:type="dxa"/>
            <w:gridSpan w:val="11"/>
            <w:shd w:val="clear" w:color="auto" w:fill="auto"/>
            <w:vAlign w:val="center"/>
          </w:tcPr>
          <w:p>
            <w:pPr>
              <w:pStyle w:val="88"/>
              <w:widowControl/>
              <w:numPr>
                <w:ilvl w:val="0"/>
                <w:numId w:val="14"/>
              </w:numPr>
              <w:ind w:firstLineChars="0"/>
              <w:rPr>
                <w:rFonts w:ascii="宋体" w:hAnsi="宋体" w:cs="宋体"/>
                <w:szCs w:val="21"/>
              </w:rPr>
            </w:pPr>
            <w:r>
              <w:rPr>
                <w:rFonts w:ascii="宋体" w:hAnsi="宋体" w:cs="宋体"/>
                <w:szCs w:val="21"/>
              </w:rPr>
              <w:t>得分情况</w:t>
            </w:r>
            <w:r>
              <w:rPr>
                <w:rFonts w:hint="eastAsia" w:ascii="宋体" w:hAnsi="宋体" w:cs="宋体"/>
                <w:szCs w:val="21"/>
              </w:rPr>
              <w:t>（</w:t>
            </w:r>
            <w:r>
              <w:rPr>
                <w:rFonts w:ascii="宋体" w:hAnsi="宋体" w:cs="宋体"/>
                <w:szCs w:val="21"/>
              </w:rPr>
              <w:t>注</w:t>
            </w:r>
            <w:r>
              <w:rPr>
                <w:rFonts w:hint="eastAsia" w:ascii="宋体" w:hAnsi="宋体" w:cs="宋体"/>
                <w:szCs w:val="21"/>
              </w:rPr>
              <w:t>：</w:t>
            </w:r>
            <w:r>
              <w:rPr>
                <w:rFonts w:ascii="宋体" w:hAnsi="宋体" w:cs="宋体"/>
                <w:szCs w:val="21"/>
              </w:rPr>
              <w:t xml:space="preserve">总得分 </w:t>
            </w:r>
            <w:r>
              <w:rPr>
                <w:rFonts w:ascii="宋体" w:hAnsi="宋体"/>
                <w:szCs w:val="21"/>
              </w:rPr>
              <w:t>Q =（Q</w:t>
            </w:r>
            <w:r>
              <w:rPr>
                <w:rFonts w:ascii="宋体" w:hAnsi="宋体"/>
                <w:szCs w:val="21"/>
                <w:vertAlign w:val="subscript"/>
              </w:rPr>
              <w:t xml:space="preserve">0 </w:t>
            </w:r>
            <w:r>
              <w:rPr>
                <w:rFonts w:ascii="宋体" w:hAnsi="宋体"/>
                <w:szCs w:val="21"/>
              </w:rPr>
              <w:t>+ Q</w:t>
            </w:r>
            <w:r>
              <w:rPr>
                <w:rFonts w:ascii="宋体" w:hAnsi="宋体"/>
                <w:szCs w:val="21"/>
                <w:vertAlign w:val="subscript"/>
              </w:rPr>
              <w:t xml:space="preserve">1 </w:t>
            </w:r>
            <w:r>
              <w:rPr>
                <w:rFonts w:ascii="宋体" w:hAnsi="宋体"/>
                <w:szCs w:val="21"/>
              </w:rPr>
              <w:t>+ Q</w:t>
            </w:r>
            <w:r>
              <w:rPr>
                <w:rFonts w:ascii="宋体" w:hAnsi="宋体"/>
                <w:szCs w:val="21"/>
                <w:vertAlign w:val="subscript"/>
              </w:rPr>
              <w:t xml:space="preserve">2 </w:t>
            </w:r>
            <w:r>
              <w:rPr>
                <w:rFonts w:ascii="宋体" w:hAnsi="宋体"/>
                <w:szCs w:val="21"/>
              </w:rPr>
              <w:t>+ Q</w:t>
            </w:r>
            <w:r>
              <w:rPr>
                <w:rFonts w:ascii="宋体" w:hAnsi="宋体"/>
                <w:szCs w:val="21"/>
                <w:vertAlign w:val="subscript"/>
              </w:rPr>
              <w:t xml:space="preserve">3 </w:t>
            </w:r>
            <w:r>
              <w:rPr>
                <w:rFonts w:ascii="宋体" w:hAnsi="宋体"/>
                <w:szCs w:val="21"/>
              </w:rPr>
              <w:t>+ Q</w:t>
            </w:r>
            <w:r>
              <w:rPr>
                <w:rFonts w:ascii="宋体" w:hAnsi="宋体"/>
                <w:szCs w:val="21"/>
                <w:vertAlign w:val="subscript"/>
              </w:rPr>
              <w:t xml:space="preserve">4 </w:t>
            </w:r>
            <w:r>
              <w:rPr>
                <w:rFonts w:ascii="宋体" w:hAnsi="宋体"/>
                <w:szCs w:val="21"/>
              </w:rPr>
              <w:t>+ Q</w:t>
            </w:r>
            <w:r>
              <w:rPr>
                <w:rFonts w:ascii="宋体" w:hAnsi="宋体"/>
                <w:szCs w:val="21"/>
                <w:vertAlign w:val="subscript"/>
              </w:rPr>
              <w:t xml:space="preserve">5 </w:t>
            </w:r>
            <w:r>
              <w:rPr>
                <w:rFonts w:ascii="宋体" w:hAnsi="宋体"/>
                <w:szCs w:val="21"/>
              </w:rPr>
              <w:t>+ Q</w:t>
            </w:r>
            <w:r>
              <w:rPr>
                <w:rFonts w:ascii="宋体" w:hAnsi="宋体"/>
                <w:szCs w:val="21"/>
                <w:vertAlign w:val="subscript"/>
              </w:rPr>
              <w:t>A</w:t>
            </w:r>
            <w:r>
              <w:rPr>
                <w:rFonts w:ascii="宋体" w:hAnsi="宋体"/>
                <w:szCs w:val="21"/>
              </w:rPr>
              <w:t>）/10</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44" w:type="dxa"/>
            <w:vMerge w:val="restart"/>
            <w:shd w:val="clear" w:color="auto" w:fill="auto"/>
            <w:vAlign w:val="center"/>
          </w:tcPr>
          <w:p>
            <w:pPr>
              <w:widowControl/>
              <w:rPr>
                <w:rFonts w:ascii="宋体" w:hAnsi="宋体" w:cs="宋体"/>
                <w:szCs w:val="21"/>
              </w:rPr>
            </w:pPr>
            <w:r>
              <w:rPr>
                <w:rFonts w:ascii="宋体" w:hAnsi="宋体" w:cs="宋体"/>
                <w:szCs w:val="21"/>
              </w:rPr>
              <w:t>各分项得分</w:t>
            </w:r>
          </w:p>
        </w:tc>
        <w:tc>
          <w:tcPr>
            <w:tcW w:w="916" w:type="dxa"/>
            <w:vMerge w:val="restart"/>
            <w:shd w:val="clear" w:color="auto" w:fill="auto"/>
            <w:vAlign w:val="center"/>
          </w:tcPr>
          <w:p>
            <w:pPr>
              <w:widowControl/>
              <w:rPr>
                <w:rFonts w:ascii="宋体" w:hAnsi="宋体" w:cs="宋体"/>
                <w:b/>
                <w:szCs w:val="21"/>
              </w:rPr>
            </w:pPr>
          </w:p>
        </w:tc>
        <w:tc>
          <w:tcPr>
            <w:tcW w:w="1021" w:type="dxa"/>
            <w:gridSpan w:val="2"/>
            <w:vMerge w:val="restart"/>
            <w:shd w:val="clear" w:color="auto" w:fill="auto"/>
            <w:vAlign w:val="center"/>
          </w:tcPr>
          <w:p>
            <w:pPr>
              <w:widowControl/>
              <w:ind w:left="-65" w:leftChars="-31" w:right="-31" w:rightChars="-15"/>
              <w:jc w:val="center"/>
              <w:rPr>
                <w:rFonts w:ascii="宋体" w:hAnsi="宋体" w:cs="宋体"/>
                <w:szCs w:val="21"/>
              </w:rPr>
            </w:pPr>
            <w:r>
              <w:rPr>
                <w:rFonts w:ascii="宋体" w:hAnsi="宋体" w:cs="宋体"/>
                <w:szCs w:val="21"/>
              </w:rPr>
              <w:t>控制项</w:t>
            </w:r>
          </w:p>
          <w:p>
            <w:pPr>
              <w:widowControl/>
              <w:ind w:left="-65" w:leftChars="-31" w:right="-31" w:rightChars="-15"/>
              <w:jc w:val="center"/>
              <w:rPr>
                <w:rFonts w:ascii="宋体" w:hAnsi="宋体" w:cs="宋体"/>
                <w:szCs w:val="21"/>
              </w:rPr>
            </w:pPr>
            <w:r>
              <w:rPr>
                <w:rFonts w:ascii="宋体" w:hAnsi="宋体" w:cs="宋体"/>
                <w:szCs w:val="21"/>
              </w:rPr>
              <w:t>基础分值</w:t>
            </w:r>
          </w:p>
          <w:p>
            <w:pPr>
              <w:widowControl/>
              <w:ind w:left="-65" w:leftChars="-31" w:right="-31" w:rightChars="-15"/>
              <w:jc w:val="center"/>
              <w:rPr>
                <w:rFonts w:ascii="宋体" w:hAnsi="宋体" w:cs="宋体"/>
                <w:szCs w:val="21"/>
              </w:rPr>
            </w:pPr>
            <w:r>
              <w:rPr>
                <w:rFonts w:ascii="宋体" w:hAnsi="宋体" w:cs="宋体"/>
                <w:szCs w:val="21"/>
              </w:rPr>
              <w:t>Q</w:t>
            </w:r>
            <w:r>
              <w:rPr>
                <w:rFonts w:ascii="宋体" w:hAnsi="宋体" w:cs="宋体"/>
                <w:szCs w:val="21"/>
                <w:vertAlign w:val="subscript"/>
              </w:rPr>
              <w:t>0</w:t>
            </w:r>
          </w:p>
        </w:tc>
        <w:tc>
          <w:tcPr>
            <w:tcW w:w="4790" w:type="dxa"/>
            <w:gridSpan w:val="6"/>
            <w:shd w:val="clear" w:color="auto" w:fill="auto"/>
            <w:vAlign w:val="center"/>
          </w:tcPr>
          <w:p>
            <w:pPr>
              <w:widowControl/>
              <w:jc w:val="center"/>
              <w:rPr>
                <w:rFonts w:ascii="宋体" w:hAnsi="宋体" w:cs="宋体"/>
                <w:szCs w:val="21"/>
              </w:rPr>
            </w:pPr>
            <w:r>
              <w:rPr>
                <w:rFonts w:ascii="宋体" w:hAnsi="宋体" w:cs="宋体"/>
                <w:szCs w:val="21"/>
              </w:rPr>
              <w:t>评价指标体系评分项</w:t>
            </w:r>
          </w:p>
        </w:tc>
        <w:tc>
          <w:tcPr>
            <w:tcW w:w="1134" w:type="dxa"/>
            <w:vMerge w:val="restart"/>
            <w:shd w:val="clear" w:color="auto" w:fill="auto"/>
            <w:vAlign w:val="center"/>
          </w:tcPr>
          <w:p>
            <w:pPr>
              <w:widowControl/>
              <w:ind w:left="-53" w:leftChars="-25" w:right="-48" w:rightChars="-23"/>
              <w:jc w:val="center"/>
              <w:rPr>
                <w:rFonts w:ascii="宋体" w:hAnsi="宋体" w:cs="宋体"/>
                <w:szCs w:val="21"/>
              </w:rPr>
            </w:pPr>
            <w:r>
              <w:rPr>
                <w:rFonts w:ascii="宋体" w:hAnsi="宋体" w:cs="宋体"/>
                <w:szCs w:val="21"/>
              </w:rPr>
              <w:t>提高与</w:t>
            </w:r>
          </w:p>
          <w:p>
            <w:pPr>
              <w:widowControl/>
              <w:ind w:left="-53" w:leftChars="-25" w:right="-48" w:rightChars="-23"/>
              <w:jc w:val="center"/>
              <w:rPr>
                <w:rFonts w:ascii="宋体" w:hAnsi="宋体" w:cs="宋体"/>
                <w:szCs w:val="21"/>
              </w:rPr>
            </w:pPr>
            <w:r>
              <w:rPr>
                <w:rFonts w:ascii="宋体" w:hAnsi="宋体" w:cs="宋体"/>
                <w:szCs w:val="21"/>
              </w:rPr>
              <w:t>创新项</w:t>
            </w:r>
          </w:p>
          <w:p>
            <w:pPr>
              <w:widowControl/>
              <w:ind w:left="-53" w:leftChars="-25" w:right="-48" w:rightChars="-23"/>
              <w:jc w:val="center"/>
              <w:rPr>
                <w:rFonts w:ascii="宋体" w:hAnsi="宋体" w:cs="宋体"/>
                <w:szCs w:val="21"/>
              </w:rPr>
            </w:pPr>
            <w:r>
              <w:rPr>
                <w:rFonts w:ascii="宋体" w:hAnsi="宋体" w:cs="宋体"/>
                <w:szCs w:val="21"/>
              </w:rPr>
              <w:t>加分值</w:t>
            </w:r>
          </w:p>
          <w:p>
            <w:pPr>
              <w:widowControl/>
              <w:ind w:left="-53" w:leftChars="-25" w:right="-48" w:rightChars="-23"/>
              <w:jc w:val="center"/>
              <w:rPr>
                <w:rFonts w:ascii="宋体" w:hAnsi="宋体" w:cs="宋体"/>
                <w:szCs w:val="21"/>
              </w:rPr>
            </w:pPr>
            <w:r>
              <w:rPr>
                <w:rFonts w:ascii="宋体" w:hAnsi="宋体" w:cs="宋体"/>
                <w:szCs w:val="21"/>
              </w:rPr>
              <w:t>Q</w:t>
            </w:r>
            <w:r>
              <w:rPr>
                <w:rFonts w:ascii="宋体" w:hAnsi="宋体" w:cs="宋体"/>
                <w:szCs w:val="21"/>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644" w:type="dxa"/>
            <w:vMerge w:val="continue"/>
            <w:shd w:val="clear" w:color="auto" w:fill="auto"/>
            <w:vAlign w:val="center"/>
          </w:tcPr>
          <w:p>
            <w:pPr>
              <w:widowControl/>
              <w:rPr>
                <w:rFonts w:ascii="宋体" w:hAnsi="宋体" w:cs="宋体"/>
                <w:szCs w:val="21"/>
              </w:rPr>
            </w:pPr>
          </w:p>
        </w:tc>
        <w:tc>
          <w:tcPr>
            <w:tcW w:w="916" w:type="dxa"/>
            <w:vMerge w:val="continue"/>
            <w:shd w:val="clear" w:color="auto" w:fill="auto"/>
            <w:vAlign w:val="center"/>
          </w:tcPr>
          <w:p>
            <w:pPr>
              <w:widowControl/>
              <w:rPr>
                <w:rFonts w:ascii="宋体" w:hAnsi="宋体" w:cs="宋体"/>
                <w:szCs w:val="21"/>
              </w:rPr>
            </w:pPr>
          </w:p>
        </w:tc>
        <w:tc>
          <w:tcPr>
            <w:tcW w:w="1021" w:type="dxa"/>
            <w:gridSpan w:val="2"/>
            <w:vMerge w:val="continue"/>
            <w:shd w:val="clear" w:color="auto" w:fill="auto"/>
            <w:vAlign w:val="center"/>
          </w:tcPr>
          <w:p>
            <w:pPr>
              <w:widowControl/>
              <w:rPr>
                <w:rFonts w:ascii="宋体" w:hAnsi="宋体" w:cs="宋体"/>
                <w:szCs w:val="21"/>
              </w:rPr>
            </w:pPr>
          </w:p>
        </w:tc>
        <w:tc>
          <w:tcPr>
            <w:tcW w:w="992" w:type="dxa"/>
            <w:shd w:val="clear" w:color="auto" w:fill="auto"/>
            <w:vAlign w:val="center"/>
          </w:tcPr>
          <w:p>
            <w:pPr>
              <w:widowControl/>
              <w:jc w:val="center"/>
              <w:rPr>
                <w:rFonts w:ascii="宋体" w:hAnsi="宋体" w:cs="宋体"/>
                <w:szCs w:val="21"/>
              </w:rPr>
            </w:pPr>
            <w:r>
              <w:rPr>
                <w:rFonts w:ascii="宋体" w:hAnsi="宋体" w:cs="宋体"/>
                <w:szCs w:val="21"/>
              </w:rPr>
              <w:t>安全</w:t>
            </w:r>
          </w:p>
          <w:p>
            <w:pPr>
              <w:widowControl/>
              <w:jc w:val="center"/>
              <w:rPr>
                <w:rFonts w:ascii="宋体" w:hAnsi="宋体" w:cs="宋体"/>
                <w:szCs w:val="21"/>
              </w:rPr>
            </w:pPr>
            <w:r>
              <w:rPr>
                <w:rFonts w:ascii="宋体" w:hAnsi="宋体" w:cs="宋体"/>
                <w:szCs w:val="21"/>
              </w:rPr>
              <w:t>耐久</w:t>
            </w:r>
          </w:p>
          <w:p>
            <w:pPr>
              <w:widowControl/>
              <w:jc w:val="center"/>
              <w:rPr>
                <w:rFonts w:ascii="宋体" w:hAnsi="宋体" w:cs="宋体"/>
                <w:szCs w:val="21"/>
              </w:rPr>
            </w:pPr>
            <w:r>
              <w:rPr>
                <w:rFonts w:ascii="宋体" w:hAnsi="宋体" w:cs="宋体"/>
                <w:szCs w:val="21"/>
              </w:rPr>
              <w:t>Q</w:t>
            </w:r>
            <w:r>
              <w:rPr>
                <w:rFonts w:ascii="宋体" w:hAnsi="宋体" w:cs="宋体"/>
                <w:szCs w:val="21"/>
                <w:vertAlign w:val="subscript"/>
              </w:rPr>
              <w:t>1</w:t>
            </w:r>
          </w:p>
        </w:tc>
        <w:tc>
          <w:tcPr>
            <w:tcW w:w="850" w:type="dxa"/>
            <w:gridSpan w:val="2"/>
            <w:shd w:val="clear" w:color="auto" w:fill="auto"/>
            <w:vAlign w:val="center"/>
          </w:tcPr>
          <w:p>
            <w:pPr>
              <w:widowControl/>
              <w:jc w:val="center"/>
              <w:rPr>
                <w:rFonts w:ascii="宋体" w:hAnsi="宋体" w:cs="宋体"/>
                <w:szCs w:val="21"/>
              </w:rPr>
            </w:pPr>
            <w:r>
              <w:rPr>
                <w:rFonts w:ascii="宋体" w:hAnsi="宋体" w:cs="宋体"/>
                <w:szCs w:val="21"/>
              </w:rPr>
              <w:t>健康</w:t>
            </w:r>
          </w:p>
          <w:p>
            <w:pPr>
              <w:widowControl/>
              <w:jc w:val="center"/>
              <w:rPr>
                <w:rFonts w:ascii="宋体" w:hAnsi="宋体" w:cs="宋体"/>
                <w:szCs w:val="21"/>
              </w:rPr>
            </w:pPr>
            <w:r>
              <w:rPr>
                <w:rFonts w:ascii="宋体" w:hAnsi="宋体" w:cs="宋体"/>
                <w:szCs w:val="21"/>
              </w:rPr>
              <w:t>舒适</w:t>
            </w:r>
          </w:p>
          <w:p>
            <w:pPr>
              <w:widowControl/>
              <w:jc w:val="center"/>
              <w:rPr>
                <w:rFonts w:ascii="宋体" w:hAnsi="宋体" w:cs="宋体"/>
                <w:szCs w:val="21"/>
              </w:rPr>
            </w:pPr>
            <w:r>
              <w:rPr>
                <w:rFonts w:ascii="宋体" w:hAnsi="宋体" w:cs="宋体"/>
                <w:szCs w:val="21"/>
              </w:rPr>
              <w:t>Q</w:t>
            </w:r>
            <w:r>
              <w:rPr>
                <w:rFonts w:ascii="宋体" w:hAnsi="宋体" w:cs="宋体"/>
                <w:szCs w:val="21"/>
                <w:vertAlign w:val="subscript"/>
              </w:rPr>
              <w:t>2</w:t>
            </w:r>
          </w:p>
        </w:tc>
        <w:tc>
          <w:tcPr>
            <w:tcW w:w="993" w:type="dxa"/>
            <w:shd w:val="clear" w:color="auto" w:fill="auto"/>
            <w:vAlign w:val="center"/>
          </w:tcPr>
          <w:p>
            <w:pPr>
              <w:widowControl/>
              <w:jc w:val="center"/>
              <w:rPr>
                <w:rFonts w:ascii="宋体" w:hAnsi="宋体" w:cs="宋体"/>
                <w:szCs w:val="21"/>
              </w:rPr>
            </w:pPr>
            <w:r>
              <w:rPr>
                <w:rFonts w:ascii="宋体" w:hAnsi="宋体" w:cs="宋体"/>
                <w:szCs w:val="21"/>
              </w:rPr>
              <w:t>生活</w:t>
            </w:r>
          </w:p>
          <w:p>
            <w:pPr>
              <w:widowControl/>
              <w:jc w:val="center"/>
              <w:rPr>
                <w:rFonts w:ascii="宋体" w:hAnsi="宋体" w:cs="宋体"/>
                <w:szCs w:val="21"/>
              </w:rPr>
            </w:pPr>
            <w:r>
              <w:rPr>
                <w:rFonts w:ascii="宋体" w:hAnsi="宋体" w:cs="宋体"/>
                <w:szCs w:val="21"/>
              </w:rPr>
              <w:t>便利</w:t>
            </w:r>
          </w:p>
          <w:p>
            <w:pPr>
              <w:widowControl/>
              <w:jc w:val="center"/>
              <w:rPr>
                <w:rFonts w:ascii="宋体" w:hAnsi="宋体" w:cs="宋体"/>
                <w:szCs w:val="21"/>
              </w:rPr>
            </w:pPr>
            <w:r>
              <w:rPr>
                <w:rFonts w:ascii="宋体" w:hAnsi="宋体" w:cs="宋体"/>
                <w:szCs w:val="21"/>
              </w:rPr>
              <w:t>Q</w:t>
            </w:r>
            <w:r>
              <w:rPr>
                <w:rFonts w:ascii="宋体" w:hAnsi="宋体" w:cs="宋体"/>
                <w:szCs w:val="21"/>
                <w:vertAlign w:val="subscript"/>
              </w:rPr>
              <w:t>3</w:t>
            </w:r>
          </w:p>
        </w:tc>
        <w:tc>
          <w:tcPr>
            <w:tcW w:w="850" w:type="dxa"/>
            <w:shd w:val="clear" w:color="auto" w:fill="auto"/>
            <w:vAlign w:val="center"/>
          </w:tcPr>
          <w:p>
            <w:pPr>
              <w:widowControl/>
              <w:jc w:val="center"/>
              <w:rPr>
                <w:rFonts w:ascii="宋体" w:hAnsi="宋体" w:cs="宋体"/>
                <w:szCs w:val="21"/>
              </w:rPr>
            </w:pPr>
            <w:r>
              <w:rPr>
                <w:rFonts w:ascii="宋体" w:hAnsi="宋体" w:cs="宋体"/>
                <w:szCs w:val="21"/>
              </w:rPr>
              <w:t>资源</w:t>
            </w:r>
          </w:p>
          <w:p>
            <w:pPr>
              <w:widowControl/>
              <w:jc w:val="center"/>
              <w:rPr>
                <w:rFonts w:ascii="宋体" w:hAnsi="宋体" w:cs="宋体"/>
                <w:szCs w:val="21"/>
              </w:rPr>
            </w:pPr>
            <w:r>
              <w:rPr>
                <w:rFonts w:ascii="宋体" w:hAnsi="宋体" w:cs="宋体"/>
                <w:szCs w:val="21"/>
              </w:rPr>
              <w:t>节约</w:t>
            </w:r>
          </w:p>
          <w:p>
            <w:pPr>
              <w:widowControl/>
              <w:jc w:val="center"/>
              <w:rPr>
                <w:rFonts w:ascii="宋体" w:hAnsi="宋体" w:cs="宋体"/>
                <w:szCs w:val="21"/>
              </w:rPr>
            </w:pPr>
            <w:r>
              <w:rPr>
                <w:rFonts w:ascii="宋体" w:hAnsi="宋体" w:cs="宋体"/>
                <w:szCs w:val="21"/>
              </w:rPr>
              <w:t>Q</w:t>
            </w:r>
            <w:r>
              <w:rPr>
                <w:rFonts w:ascii="宋体" w:hAnsi="宋体" w:cs="宋体"/>
                <w:szCs w:val="21"/>
                <w:vertAlign w:val="subscript"/>
              </w:rPr>
              <w:t>4</w:t>
            </w:r>
          </w:p>
        </w:tc>
        <w:tc>
          <w:tcPr>
            <w:tcW w:w="1105" w:type="dxa"/>
            <w:shd w:val="clear" w:color="auto" w:fill="auto"/>
            <w:vAlign w:val="center"/>
          </w:tcPr>
          <w:p>
            <w:pPr>
              <w:widowControl/>
              <w:jc w:val="center"/>
              <w:rPr>
                <w:rFonts w:ascii="宋体" w:hAnsi="宋体" w:cs="宋体"/>
                <w:szCs w:val="21"/>
              </w:rPr>
            </w:pPr>
            <w:r>
              <w:rPr>
                <w:rFonts w:ascii="宋体" w:hAnsi="宋体" w:cs="宋体"/>
                <w:szCs w:val="21"/>
              </w:rPr>
              <w:t>环境</w:t>
            </w:r>
          </w:p>
          <w:p>
            <w:pPr>
              <w:widowControl/>
              <w:jc w:val="center"/>
              <w:rPr>
                <w:rFonts w:ascii="宋体" w:hAnsi="宋体" w:cs="宋体"/>
                <w:szCs w:val="21"/>
              </w:rPr>
            </w:pPr>
            <w:r>
              <w:rPr>
                <w:rFonts w:ascii="宋体" w:hAnsi="宋体" w:cs="宋体"/>
                <w:szCs w:val="21"/>
              </w:rPr>
              <w:t>宜居</w:t>
            </w:r>
          </w:p>
          <w:p>
            <w:pPr>
              <w:widowControl/>
              <w:jc w:val="center"/>
              <w:rPr>
                <w:rFonts w:ascii="宋体" w:hAnsi="宋体" w:cs="宋体"/>
                <w:szCs w:val="21"/>
              </w:rPr>
            </w:pPr>
            <w:r>
              <w:rPr>
                <w:rFonts w:ascii="宋体" w:hAnsi="宋体" w:cs="宋体"/>
                <w:szCs w:val="21"/>
              </w:rPr>
              <w:t>Q</w:t>
            </w:r>
            <w:r>
              <w:rPr>
                <w:rFonts w:ascii="宋体" w:hAnsi="宋体" w:cs="宋体"/>
                <w:szCs w:val="21"/>
                <w:vertAlign w:val="subscript"/>
              </w:rPr>
              <w:t>5</w:t>
            </w:r>
          </w:p>
        </w:tc>
        <w:tc>
          <w:tcPr>
            <w:tcW w:w="1134" w:type="dxa"/>
            <w:vMerge w:val="continue"/>
            <w:shd w:val="clear" w:color="auto" w:fill="auto"/>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44" w:type="dxa"/>
            <w:vMerge w:val="continue"/>
            <w:shd w:val="clear" w:color="auto" w:fill="auto"/>
            <w:vAlign w:val="center"/>
          </w:tcPr>
          <w:p>
            <w:pPr>
              <w:widowControl/>
              <w:rPr>
                <w:rFonts w:ascii="宋体" w:hAnsi="宋体" w:cs="宋体"/>
                <w:szCs w:val="21"/>
              </w:rPr>
            </w:pPr>
          </w:p>
        </w:tc>
        <w:tc>
          <w:tcPr>
            <w:tcW w:w="916" w:type="dxa"/>
            <w:shd w:val="clear" w:color="auto" w:fill="auto"/>
            <w:vAlign w:val="center"/>
          </w:tcPr>
          <w:p>
            <w:pPr>
              <w:widowControl/>
              <w:jc w:val="center"/>
              <w:rPr>
                <w:rFonts w:ascii="宋体" w:hAnsi="宋体" w:cs="宋体"/>
                <w:szCs w:val="21"/>
              </w:rPr>
            </w:pPr>
            <w:r>
              <w:rPr>
                <w:rFonts w:hint="eastAsia" w:ascii="宋体" w:hAnsi="宋体" w:cs="宋体"/>
                <w:szCs w:val="21"/>
              </w:rPr>
              <w:t>分项满</w:t>
            </w:r>
            <w:r>
              <w:rPr>
                <w:rFonts w:ascii="宋体" w:hAnsi="宋体" w:cs="宋体"/>
                <w:szCs w:val="21"/>
              </w:rPr>
              <w:t>分值</w:t>
            </w:r>
          </w:p>
        </w:tc>
        <w:tc>
          <w:tcPr>
            <w:tcW w:w="1021" w:type="dxa"/>
            <w:gridSpan w:val="2"/>
            <w:shd w:val="clear" w:color="auto" w:fill="auto"/>
            <w:vAlign w:val="center"/>
          </w:tcPr>
          <w:p>
            <w:pPr>
              <w:widowControl/>
              <w:jc w:val="center"/>
              <w:rPr>
                <w:rFonts w:ascii="宋体" w:hAnsi="宋体" w:cs="宋体"/>
                <w:szCs w:val="21"/>
              </w:rPr>
            </w:pPr>
            <w:r>
              <w:rPr>
                <w:rFonts w:hint="eastAsia" w:ascii="宋体" w:hAnsi="宋体" w:cs="宋体"/>
                <w:szCs w:val="21"/>
              </w:rPr>
              <w:t>4</w:t>
            </w:r>
            <w:r>
              <w:rPr>
                <w:rFonts w:ascii="宋体" w:hAnsi="宋体" w:cs="宋体"/>
                <w:szCs w:val="21"/>
              </w:rPr>
              <w:t>00</w:t>
            </w:r>
          </w:p>
        </w:tc>
        <w:tc>
          <w:tcPr>
            <w:tcW w:w="992" w:type="dxa"/>
            <w:shd w:val="clear" w:color="auto" w:fill="auto"/>
            <w:vAlign w:val="center"/>
          </w:tcPr>
          <w:p>
            <w:pPr>
              <w:widowControl/>
              <w:jc w:val="center"/>
              <w:rPr>
                <w:rFonts w:ascii="宋体" w:hAnsi="宋体" w:cs="宋体"/>
                <w:szCs w:val="21"/>
              </w:rPr>
            </w:pPr>
            <w:r>
              <w:rPr>
                <w:rFonts w:hint="eastAsia" w:ascii="宋体" w:hAnsi="宋体" w:cs="宋体"/>
                <w:szCs w:val="21"/>
              </w:rPr>
              <w:t>1</w:t>
            </w:r>
            <w:r>
              <w:rPr>
                <w:rFonts w:ascii="宋体" w:hAnsi="宋体" w:cs="宋体"/>
                <w:szCs w:val="21"/>
              </w:rPr>
              <w:t>00</w:t>
            </w:r>
          </w:p>
        </w:tc>
        <w:tc>
          <w:tcPr>
            <w:tcW w:w="850" w:type="dxa"/>
            <w:gridSpan w:val="2"/>
            <w:shd w:val="clear" w:color="auto" w:fill="auto"/>
            <w:vAlign w:val="center"/>
          </w:tcPr>
          <w:p>
            <w:pPr>
              <w:widowControl/>
              <w:jc w:val="center"/>
              <w:rPr>
                <w:rFonts w:ascii="宋体" w:hAnsi="宋体" w:cs="宋体"/>
                <w:szCs w:val="21"/>
              </w:rPr>
            </w:pPr>
            <w:r>
              <w:rPr>
                <w:rFonts w:hint="eastAsia" w:ascii="宋体" w:hAnsi="宋体" w:cs="宋体"/>
                <w:szCs w:val="21"/>
              </w:rPr>
              <w:t>1</w:t>
            </w:r>
            <w:r>
              <w:rPr>
                <w:rFonts w:ascii="宋体" w:hAnsi="宋体" w:cs="宋体"/>
                <w:szCs w:val="21"/>
              </w:rPr>
              <w:t>00</w:t>
            </w:r>
          </w:p>
        </w:tc>
        <w:tc>
          <w:tcPr>
            <w:tcW w:w="993" w:type="dxa"/>
            <w:shd w:val="clear" w:color="auto" w:fill="auto"/>
            <w:vAlign w:val="center"/>
          </w:tcPr>
          <w:p>
            <w:pPr>
              <w:widowControl/>
              <w:jc w:val="center"/>
              <w:rPr>
                <w:rFonts w:ascii="宋体" w:hAnsi="宋体" w:cs="宋体"/>
                <w:szCs w:val="21"/>
              </w:rPr>
            </w:pPr>
            <w:r>
              <w:rPr>
                <w:rFonts w:hint="eastAsia" w:ascii="宋体" w:hAnsi="宋体" w:cs="宋体"/>
                <w:szCs w:val="21"/>
              </w:rPr>
              <w:t>7</w:t>
            </w:r>
            <w:r>
              <w:rPr>
                <w:rFonts w:ascii="宋体" w:hAnsi="宋体" w:cs="宋体"/>
                <w:szCs w:val="21"/>
              </w:rPr>
              <w:t>0</w:t>
            </w:r>
          </w:p>
        </w:tc>
        <w:tc>
          <w:tcPr>
            <w:tcW w:w="850" w:type="dxa"/>
            <w:shd w:val="clear" w:color="auto" w:fill="auto"/>
            <w:vAlign w:val="center"/>
          </w:tcPr>
          <w:p>
            <w:pPr>
              <w:widowControl/>
              <w:jc w:val="center"/>
              <w:rPr>
                <w:rFonts w:ascii="宋体" w:hAnsi="宋体" w:cs="宋体"/>
                <w:szCs w:val="21"/>
              </w:rPr>
            </w:pPr>
            <w:r>
              <w:rPr>
                <w:rFonts w:hint="eastAsia" w:ascii="宋体" w:hAnsi="宋体" w:cs="宋体"/>
                <w:szCs w:val="21"/>
              </w:rPr>
              <w:t>2</w:t>
            </w:r>
            <w:r>
              <w:rPr>
                <w:rFonts w:ascii="宋体" w:hAnsi="宋体" w:cs="宋体"/>
                <w:szCs w:val="21"/>
              </w:rPr>
              <w:t>00</w:t>
            </w:r>
          </w:p>
        </w:tc>
        <w:tc>
          <w:tcPr>
            <w:tcW w:w="1105" w:type="dxa"/>
            <w:shd w:val="clear" w:color="auto" w:fill="auto"/>
            <w:vAlign w:val="center"/>
          </w:tcPr>
          <w:p>
            <w:pPr>
              <w:widowControl/>
              <w:jc w:val="center"/>
              <w:rPr>
                <w:rFonts w:ascii="宋体" w:hAnsi="宋体" w:cs="宋体"/>
                <w:szCs w:val="21"/>
              </w:rPr>
            </w:pPr>
            <w:r>
              <w:rPr>
                <w:rFonts w:hint="eastAsia" w:ascii="宋体" w:hAnsi="宋体" w:cs="宋体"/>
                <w:szCs w:val="21"/>
              </w:rPr>
              <w:t>1</w:t>
            </w:r>
            <w:r>
              <w:rPr>
                <w:rFonts w:ascii="宋体" w:hAnsi="宋体" w:cs="宋体"/>
                <w:szCs w:val="21"/>
              </w:rPr>
              <w:t>00</w:t>
            </w:r>
          </w:p>
        </w:tc>
        <w:tc>
          <w:tcPr>
            <w:tcW w:w="1134" w:type="dxa"/>
            <w:shd w:val="clear" w:color="auto" w:fill="auto"/>
            <w:vAlign w:val="center"/>
          </w:tcPr>
          <w:p>
            <w:pPr>
              <w:widowControl/>
              <w:jc w:val="center"/>
              <w:rPr>
                <w:rFonts w:ascii="宋体" w:hAnsi="宋体" w:cs="宋体"/>
                <w:szCs w:val="21"/>
              </w:rPr>
            </w:pPr>
            <w:r>
              <w:rPr>
                <w:rFonts w:hint="eastAsia" w:ascii="宋体" w:hAnsi="宋体" w:cs="宋体"/>
                <w:szCs w:val="21"/>
              </w:rPr>
              <w:t>1</w:t>
            </w:r>
            <w:r>
              <w:rPr>
                <w:rFonts w:ascii="宋体" w:hAnsi="宋体" w:cs="宋体"/>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44" w:type="dxa"/>
            <w:vMerge w:val="continue"/>
            <w:shd w:val="clear" w:color="auto" w:fill="auto"/>
            <w:vAlign w:val="center"/>
          </w:tcPr>
          <w:p>
            <w:pPr>
              <w:widowControl/>
              <w:rPr>
                <w:rFonts w:ascii="宋体" w:hAnsi="宋体" w:cs="宋体"/>
                <w:szCs w:val="21"/>
              </w:rPr>
            </w:pPr>
          </w:p>
        </w:tc>
        <w:tc>
          <w:tcPr>
            <w:tcW w:w="916" w:type="dxa"/>
            <w:shd w:val="clear" w:color="auto" w:fill="auto"/>
            <w:vAlign w:val="center"/>
          </w:tcPr>
          <w:p>
            <w:pPr>
              <w:widowControl/>
              <w:jc w:val="center"/>
              <w:rPr>
                <w:rFonts w:ascii="宋体" w:hAnsi="宋体" w:cs="宋体"/>
                <w:szCs w:val="21"/>
              </w:rPr>
            </w:pPr>
            <w:r>
              <w:rPr>
                <w:rFonts w:ascii="宋体" w:hAnsi="宋体" w:cs="宋体"/>
                <w:szCs w:val="21"/>
              </w:rPr>
              <w:t>自评</w:t>
            </w:r>
          </w:p>
          <w:p>
            <w:pPr>
              <w:widowControl/>
              <w:jc w:val="center"/>
              <w:rPr>
                <w:rFonts w:ascii="宋体" w:hAnsi="宋体" w:cs="宋体"/>
                <w:szCs w:val="21"/>
              </w:rPr>
            </w:pPr>
            <w:r>
              <w:rPr>
                <w:rFonts w:ascii="宋体" w:hAnsi="宋体" w:cs="宋体"/>
                <w:szCs w:val="21"/>
              </w:rPr>
              <w:t>分值</w:t>
            </w:r>
          </w:p>
        </w:tc>
        <w:tc>
          <w:tcPr>
            <w:tcW w:w="1021" w:type="dxa"/>
            <w:gridSpan w:val="2"/>
            <w:shd w:val="clear" w:color="auto" w:fill="auto"/>
            <w:vAlign w:val="center"/>
          </w:tcPr>
          <w:p>
            <w:pPr>
              <w:widowControl/>
              <w:rPr>
                <w:rFonts w:ascii="宋体" w:hAnsi="宋体" w:cs="宋体"/>
                <w:szCs w:val="21"/>
              </w:rPr>
            </w:pPr>
          </w:p>
        </w:tc>
        <w:tc>
          <w:tcPr>
            <w:tcW w:w="992" w:type="dxa"/>
            <w:shd w:val="clear" w:color="auto" w:fill="auto"/>
            <w:vAlign w:val="center"/>
          </w:tcPr>
          <w:p>
            <w:pPr>
              <w:widowControl/>
              <w:rPr>
                <w:rFonts w:ascii="宋体" w:hAnsi="宋体" w:cs="宋体"/>
                <w:szCs w:val="21"/>
              </w:rPr>
            </w:pPr>
          </w:p>
        </w:tc>
        <w:tc>
          <w:tcPr>
            <w:tcW w:w="850" w:type="dxa"/>
            <w:gridSpan w:val="2"/>
            <w:shd w:val="clear" w:color="auto" w:fill="auto"/>
            <w:vAlign w:val="center"/>
          </w:tcPr>
          <w:p>
            <w:pPr>
              <w:widowControl/>
              <w:rPr>
                <w:rFonts w:ascii="宋体" w:hAnsi="宋体" w:cs="宋体"/>
                <w:szCs w:val="21"/>
              </w:rPr>
            </w:pPr>
          </w:p>
        </w:tc>
        <w:tc>
          <w:tcPr>
            <w:tcW w:w="993" w:type="dxa"/>
            <w:shd w:val="clear" w:color="auto" w:fill="auto"/>
            <w:vAlign w:val="center"/>
          </w:tcPr>
          <w:p>
            <w:pPr>
              <w:widowControl/>
              <w:rPr>
                <w:rFonts w:ascii="宋体" w:hAnsi="宋体" w:cs="宋体"/>
                <w:szCs w:val="21"/>
              </w:rPr>
            </w:pPr>
          </w:p>
        </w:tc>
        <w:tc>
          <w:tcPr>
            <w:tcW w:w="850" w:type="dxa"/>
            <w:shd w:val="clear" w:color="auto" w:fill="auto"/>
            <w:vAlign w:val="center"/>
          </w:tcPr>
          <w:p>
            <w:pPr>
              <w:widowControl/>
              <w:rPr>
                <w:rFonts w:ascii="宋体" w:hAnsi="宋体" w:cs="宋体"/>
                <w:szCs w:val="21"/>
              </w:rPr>
            </w:pPr>
          </w:p>
        </w:tc>
        <w:tc>
          <w:tcPr>
            <w:tcW w:w="1105" w:type="dxa"/>
            <w:shd w:val="clear" w:color="auto" w:fill="auto"/>
            <w:vAlign w:val="center"/>
          </w:tcPr>
          <w:p>
            <w:pPr>
              <w:widowControl/>
              <w:rPr>
                <w:rFonts w:ascii="宋体" w:hAnsi="宋体" w:cs="宋体"/>
                <w:szCs w:val="21"/>
              </w:rPr>
            </w:pPr>
          </w:p>
        </w:tc>
        <w:tc>
          <w:tcPr>
            <w:tcW w:w="1134" w:type="dxa"/>
            <w:shd w:val="clear" w:color="auto" w:fill="auto"/>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505" w:type="dxa"/>
            <w:gridSpan w:val="11"/>
            <w:shd w:val="clear" w:color="auto" w:fill="auto"/>
            <w:vAlign w:val="center"/>
          </w:tcPr>
          <w:p>
            <w:pPr>
              <w:widowControl/>
              <w:jc w:val="center"/>
              <w:rPr>
                <w:rFonts w:ascii="宋体" w:hAnsi="宋体"/>
                <w:b/>
                <w:bCs/>
                <w:szCs w:val="21"/>
              </w:rPr>
            </w:pPr>
            <w:r>
              <w:rPr>
                <w:rFonts w:hint="eastAsia" w:ascii="宋体" w:hAnsi="宋体" w:cs="宋体"/>
                <w:b/>
                <w:bCs/>
                <w:szCs w:val="21"/>
              </w:rPr>
              <w:t xml:space="preserve">总得分 </w:t>
            </w:r>
            <w:r>
              <w:rPr>
                <w:rFonts w:ascii="宋体" w:hAnsi="宋体" w:cs="宋体"/>
                <w:b/>
                <w:bCs/>
                <w:szCs w:val="21"/>
              </w:rPr>
              <w:t xml:space="preserve"> </w:t>
            </w:r>
            <w:r>
              <w:rPr>
                <w:rFonts w:ascii="宋体" w:hAnsi="宋体"/>
                <w:b/>
                <w:bCs/>
                <w:szCs w:val="21"/>
              </w:rPr>
              <w:t xml:space="preserve">Q </w:t>
            </w:r>
            <w:r>
              <w:rPr>
                <w:rFonts w:hint="eastAsia" w:ascii="宋体" w:hAnsi="宋体"/>
                <w:b/>
                <w:bCs/>
                <w:szCs w:val="21"/>
              </w:rPr>
              <w:t>=</w:t>
            </w:r>
            <w:r>
              <w:rPr>
                <w:rFonts w:ascii="宋体" w:hAnsi="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371" w:type="dxa"/>
            <w:gridSpan w:val="10"/>
            <w:vMerge w:val="restart"/>
            <w:shd w:val="clear" w:color="auto" w:fill="auto"/>
            <w:vAlign w:val="center"/>
          </w:tcPr>
          <w:p>
            <w:pPr>
              <w:pStyle w:val="88"/>
              <w:widowControl/>
              <w:numPr>
                <w:ilvl w:val="0"/>
                <w:numId w:val="14"/>
              </w:numPr>
              <w:ind w:firstLineChars="0"/>
              <w:rPr>
                <w:rFonts w:ascii="宋体" w:hAnsi="宋体" w:cs="宋体"/>
                <w:szCs w:val="21"/>
              </w:rPr>
            </w:pPr>
            <w:r>
              <w:rPr>
                <w:rFonts w:ascii="宋体" w:hAnsi="宋体" w:cs="宋体"/>
                <w:szCs w:val="21"/>
              </w:rPr>
              <w:t>本项目</w:t>
            </w:r>
            <w:r>
              <w:rPr>
                <w:rFonts w:hint="eastAsia" w:ascii="宋体" w:hAnsi="宋体" w:cs="宋体"/>
                <w:szCs w:val="21"/>
              </w:rPr>
              <w:t>绿色建筑</w:t>
            </w:r>
            <w:r>
              <w:rPr>
                <w:rFonts w:ascii="宋体" w:hAnsi="宋体" w:cs="宋体"/>
                <w:szCs w:val="21"/>
              </w:rPr>
              <w:t>星级</w:t>
            </w:r>
            <w:r>
              <w:rPr>
                <w:rFonts w:hint="eastAsia" w:ascii="宋体" w:hAnsi="宋体" w:cs="宋体"/>
                <w:szCs w:val="21"/>
              </w:rPr>
              <w:t>等级自评</w:t>
            </w:r>
            <w:r>
              <w:rPr>
                <w:rFonts w:ascii="宋体" w:hAnsi="宋体" w:cs="宋体"/>
                <w:szCs w:val="21"/>
              </w:rPr>
              <w:t>（注：总得分分别达到60分，70分，85分且满足上表1、2、3项对应星级要求时，分别为一星级、二星级、三星级）</w:t>
            </w:r>
          </w:p>
        </w:tc>
        <w:tc>
          <w:tcPr>
            <w:tcW w:w="1134" w:type="dxa"/>
            <w:shd w:val="clear" w:color="auto" w:fill="auto"/>
            <w:vAlign w:val="center"/>
          </w:tcPr>
          <w:p>
            <w:pPr>
              <w:jc w:val="center"/>
              <w:rPr>
                <w:rFonts w:ascii="宋体" w:hAnsi="宋体" w:cs="宋体"/>
                <w:szCs w:val="21"/>
              </w:rPr>
            </w:pPr>
            <w:r>
              <w:rPr>
                <w:rFonts w:ascii="宋体" w:hAnsi="宋体" w:cs="宋体"/>
                <w:szCs w:val="21"/>
              </w:rPr>
              <w:t>□一星</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7371" w:type="dxa"/>
            <w:gridSpan w:val="10"/>
            <w:vMerge w:val="continue"/>
            <w:shd w:val="clear" w:color="auto" w:fill="auto"/>
            <w:vAlign w:val="center"/>
          </w:tcPr>
          <w:p>
            <w:pPr>
              <w:widowControl/>
              <w:rPr>
                <w:rFonts w:ascii="宋体" w:hAnsi="宋体" w:cs="宋体"/>
                <w:szCs w:val="21"/>
              </w:rPr>
            </w:pPr>
          </w:p>
        </w:tc>
        <w:tc>
          <w:tcPr>
            <w:tcW w:w="1134" w:type="dxa"/>
            <w:shd w:val="clear" w:color="auto" w:fill="auto"/>
            <w:vAlign w:val="center"/>
          </w:tcPr>
          <w:p>
            <w:pPr>
              <w:jc w:val="center"/>
              <w:rPr>
                <w:rFonts w:ascii="宋体" w:hAnsi="宋体" w:cs="宋体"/>
                <w:szCs w:val="21"/>
              </w:rPr>
            </w:pPr>
            <w:r>
              <w:rPr>
                <w:rFonts w:ascii="宋体" w:hAnsi="宋体" w:cs="宋体"/>
                <w:szCs w:val="21"/>
              </w:rPr>
              <w:t>□二星</w:t>
            </w:r>
            <w:r>
              <w:rPr>
                <w:rFonts w:hint="eastAsia" w:ascii="宋体" w:hAnsi="宋体" w:cs="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7371" w:type="dxa"/>
            <w:gridSpan w:val="10"/>
            <w:vMerge w:val="continue"/>
            <w:shd w:val="clear" w:color="auto" w:fill="auto"/>
            <w:vAlign w:val="center"/>
          </w:tcPr>
          <w:p>
            <w:pPr>
              <w:widowControl/>
              <w:rPr>
                <w:rFonts w:ascii="宋体" w:hAnsi="宋体" w:cs="宋体"/>
                <w:szCs w:val="21"/>
              </w:rPr>
            </w:pPr>
          </w:p>
        </w:tc>
        <w:tc>
          <w:tcPr>
            <w:tcW w:w="1134" w:type="dxa"/>
            <w:shd w:val="clear" w:color="auto" w:fill="auto"/>
            <w:vAlign w:val="center"/>
          </w:tcPr>
          <w:p>
            <w:pPr>
              <w:jc w:val="center"/>
              <w:rPr>
                <w:rFonts w:ascii="宋体" w:hAnsi="宋体" w:cs="宋体"/>
                <w:szCs w:val="21"/>
              </w:rPr>
            </w:pPr>
            <w:r>
              <w:rPr>
                <w:rFonts w:ascii="宋体" w:hAnsi="宋体" w:cs="宋体"/>
                <w:szCs w:val="21"/>
              </w:rPr>
              <w:t>□三星</w:t>
            </w:r>
            <w:r>
              <w:rPr>
                <w:rFonts w:hint="eastAsia" w:ascii="宋体" w:hAnsi="宋体" w:cs="宋体"/>
                <w:szCs w:val="21"/>
              </w:rPr>
              <w:t>级</w:t>
            </w:r>
          </w:p>
        </w:tc>
      </w:tr>
    </w:tbl>
    <w:p>
      <w:pPr>
        <w:jc w:val="center"/>
        <w:rPr>
          <w:rFonts w:ascii="宋体" w:hAnsi="宋体" w:cs="宋体"/>
          <w:sz w:val="32"/>
          <w:szCs w:val="32"/>
        </w:rPr>
      </w:pPr>
    </w:p>
    <w:p>
      <w:pPr>
        <w:rPr>
          <w:rFonts w:ascii="宋体" w:hAnsi="宋体" w:cs="宋体"/>
          <w:sz w:val="32"/>
          <w:szCs w:val="32"/>
        </w:rPr>
        <w:sectPr>
          <w:pgSz w:w="11907" w:h="16840"/>
          <w:pgMar w:top="1276" w:right="1540" w:bottom="1276" w:left="1680" w:header="0" w:footer="1393" w:gutter="0"/>
          <w:cols w:space="720" w:num="1"/>
        </w:sectPr>
      </w:pPr>
    </w:p>
    <w:p>
      <w:pPr>
        <w:overflowPunct w:val="0"/>
        <w:spacing w:line="360" w:lineRule="exact"/>
        <w:jc w:val="center"/>
        <w:rPr>
          <w:rFonts w:ascii="宋体" w:hAnsi="宋体" w:cs="宋体"/>
          <w:b/>
          <w:bCs/>
          <w:sz w:val="28"/>
          <w:szCs w:val="28"/>
        </w:rPr>
      </w:pPr>
      <w:r>
        <w:rPr>
          <w:rFonts w:ascii="宋体" w:hAnsi="宋体" w:cs="宋体"/>
          <w:b/>
          <w:bCs/>
          <w:sz w:val="28"/>
          <w:szCs w:val="28"/>
        </w:rPr>
        <w:t>绿色建筑</w:t>
      </w:r>
      <w:r>
        <w:rPr>
          <w:rFonts w:hint="eastAsia" w:ascii="宋体" w:hAnsi="宋体" w:cs="宋体"/>
          <w:b/>
          <w:bCs/>
          <w:sz w:val="28"/>
          <w:szCs w:val="28"/>
        </w:rPr>
        <w:t>预评价</w:t>
      </w:r>
      <w:r>
        <w:rPr>
          <w:rFonts w:ascii="宋体" w:hAnsi="宋体" w:cs="宋体"/>
          <w:b/>
          <w:bCs/>
          <w:sz w:val="28"/>
          <w:szCs w:val="28"/>
        </w:rPr>
        <w:t>自评表2 - 分项打分表</w:t>
      </w:r>
    </w:p>
    <w:p>
      <w:pPr>
        <w:overflowPunct w:val="0"/>
        <w:spacing w:line="360" w:lineRule="exact"/>
        <w:jc w:val="center"/>
        <w:rPr>
          <w:rFonts w:ascii="宋体" w:hAnsi="宋体" w:cs="宋体"/>
          <w:b/>
          <w:bCs/>
          <w:sz w:val="28"/>
          <w:szCs w:val="28"/>
        </w:rPr>
      </w:pPr>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839"/>
        <w:gridCol w:w="873"/>
        <w:gridCol w:w="78"/>
        <w:gridCol w:w="293"/>
        <w:gridCol w:w="143"/>
        <w:gridCol w:w="43"/>
        <w:gridCol w:w="39"/>
        <w:gridCol w:w="261"/>
        <w:gridCol w:w="223"/>
        <w:gridCol w:w="2557"/>
        <w:gridCol w:w="666"/>
        <w:gridCol w:w="639"/>
        <w:gridCol w:w="776"/>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restart"/>
            <w:vAlign w:val="center"/>
          </w:tcPr>
          <w:p>
            <w:pPr>
              <w:widowControl/>
              <w:rPr>
                <w:rFonts w:ascii="宋体" w:hAnsi="宋体" w:cs="宋体"/>
                <w:szCs w:val="21"/>
              </w:rPr>
            </w:pPr>
            <w:r>
              <w:rPr>
                <w:rFonts w:ascii="宋体" w:hAnsi="宋体" w:cs="宋体"/>
                <w:b/>
                <w:bCs/>
                <w:szCs w:val="21"/>
              </w:rPr>
              <w:t>类别</w:t>
            </w:r>
          </w:p>
        </w:tc>
        <w:tc>
          <w:tcPr>
            <w:tcW w:w="3138" w:type="pct"/>
            <w:gridSpan w:val="10"/>
            <w:shd w:val="clear" w:color="auto" w:fill="auto"/>
            <w:noWrap/>
            <w:vAlign w:val="center"/>
          </w:tcPr>
          <w:p>
            <w:pPr>
              <w:widowControl/>
              <w:jc w:val="center"/>
              <w:rPr>
                <w:rFonts w:ascii="宋体" w:hAnsi="宋体" w:cs="宋体"/>
                <w:b/>
                <w:bCs/>
                <w:szCs w:val="21"/>
              </w:rPr>
            </w:pPr>
            <w:r>
              <w:rPr>
                <w:rFonts w:ascii="宋体" w:hAnsi="宋体" w:cs="宋体"/>
                <w:b/>
                <w:bCs/>
                <w:szCs w:val="21"/>
              </w:rPr>
              <w:t>《绿色建筑评价标准》GB/T 50378-2019 条文</w:t>
            </w:r>
          </w:p>
        </w:tc>
        <w:tc>
          <w:tcPr>
            <w:tcW w:w="766" w:type="pct"/>
            <w:gridSpan w:val="2"/>
            <w:shd w:val="clear" w:color="auto" w:fill="auto"/>
            <w:vAlign w:val="center"/>
          </w:tcPr>
          <w:p>
            <w:pPr>
              <w:widowControl/>
              <w:jc w:val="center"/>
              <w:rPr>
                <w:rFonts w:ascii="宋体" w:hAnsi="宋体" w:cs="宋体"/>
                <w:b/>
                <w:bCs/>
                <w:szCs w:val="21"/>
              </w:rPr>
            </w:pPr>
            <w:r>
              <w:rPr>
                <w:rFonts w:ascii="宋体" w:hAnsi="宋体" w:cs="宋体"/>
                <w:b/>
                <w:bCs/>
                <w:szCs w:val="21"/>
              </w:rPr>
              <w:t>分数</w:t>
            </w:r>
          </w:p>
        </w:tc>
        <w:tc>
          <w:tcPr>
            <w:tcW w:w="455" w:type="pct"/>
            <w:vMerge w:val="restart"/>
            <w:vAlign w:val="center"/>
          </w:tcPr>
          <w:p>
            <w:pPr>
              <w:jc w:val="center"/>
              <w:rPr>
                <w:rFonts w:ascii="宋体" w:hAnsi="宋体" w:cs="宋体"/>
                <w:b/>
                <w:bCs/>
                <w:szCs w:val="21"/>
              </w:rPr>
            </w:pPr>
            <w:r>
              <w:rPr>
                <w:rFonts w:ascii="宋体" w:hAnsi="宋体" w:cs="宋体"/>
                <w:b/>
                <w:bCs/>
                <w:szCs w:val="21"/>
              </w:rPr>
              <w:t>自评得分</w:t>
            </w:r>
          </w:p>
        </w:tc>
        <w:tc>
          <w:tcPr>
            <w:tcW w:w="386" w:type="pct"/>
            <w:vMerge w:val="restart"/>
            <w:vAlign w:val="center"/>
          </w:tcPr>
          <w:p>
            <w:pPr>
              <w:jc w:val="center"/>
              <w:rPr>
                <w:rFonts w:ascii="宋体" w:hAnsi="宋体" w:cs="宋体"/>
                <w:b/>
                <w:bCs/>
                <w:szCs w:val="21"/>
              </w:rPr>
            </w:pPr>
            <w:r>
              <w:rPr>
                <w:rFonts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Cs w:val="21"/>
              </w:rPr>
            </w:pPr>
          </w:p>
        </w:tc>
        <w:tc>
          <w:tcPr>
            <w:tcW w:w="492" w:type="pct"/>
            <w:shd w:val="clear" w:color="auto" w:fill="auto"/>
            <w:noWrap/>
            <w:vAlign w:val="center"/>
          </w:tcPr>
          <w:p>
            <w:pPr>
              <w:jc w:val="center"/>
              <w:rPr>
                <w:rFonts w:ascii="宋体" w:hAnsi="宋体" w:cs="宋体"/>
                <w:szCs w:val="21"/>
              </w:rPr>
            </w:pPr>
            <w:r>
              <w:rPr>
                <w:rFonts w:ascii="宋体" w:hAnsi="宋体" w:cs="宋体"/>
                <w:b/>
                <w:bCs/>
                <w:szCs w:val="21"/>
              </w:rPr>
              <w:t>编号</w:t>
            </w:r>
          </w:p>
        </w:tc>
        <w:tc>
          <w:tcPr>
            <w:tcW w:w="2646" w:type="pct"/>
            <w:gridSpan w:val="9"/>
            <w:shd w:val="clear" w:color="auto" w:fill="auto"/>
            <w:vAlign w:val="center"/>
          </w:tcPr>
          <w:p>
            <w:pPr>
              <w:jc w:val="center"/>
              <w:rPr>
                <w:rFonts w:ascii="宋体" w:hAnsi="宋体" w:cs="宋体"/>
                <w:b/>
                <w:bCs/>
                <w:szCs w:val="21"/>
              </w:rPr>
            </w:pPr>
            <w:r>
              <w:rPr>
                <w:rFonts w:ascii="宋体" w:hAnsi="宋体" w:cs="宋体"/>
                <w:b/>
                <w:bCs/>
                <w:szCs w:val="21"/>
              </w:rPr>
              <w:t>条款内容</w:t>
            </w:r>
          </w:p>
        </w:tc>
        <w:tc>
          <w:tcPr>
            <w:tcW w:w="391" w:type="pct"/>
            <w:shd w:val="clear" w:color="auto" w:fill="auto"/>
            <w:vAlign w:val="center"/>
          </w:tcPr>
          <w:p>
            <w:pPr>
              <w:jc w:val="center"/>
              <w:rPr>
                <w:rFonts w:ascii="宋体" w:hAnsi="宋体" w:cs="宋体"/>
                <w:b/>
                <w:bCs/>
                <w:szCs w:val="21"/>
              </w:rPr>
            </w:pPr>
            <w:r>
              <w:rPr>
                <w:rFonts w:ascii="宋体" w:hAnsi="宋体" w:cs="宋体"/>
                <w:b/>
                <w:bCs/>
                <w:szCs w:val="21"/>
              </w:rPr>
              <w:t>款项</w:t>
            </w:r>
          </w:p>
          <w:p>
            <w:pPr>
              <w:jc w:val="center"/>
              <w:rPr>
                <w:rFonts w:ascii="宋体" w:hAnsi="宋体" w:cs="宋体"/>
                <w:b/>
                <w:bCs/>
                <w:szCs w:val="21"/>
              </w:rPr>
            </w:pPr>
            <w:r>
              <w:rPr>
                <w:rFonts w:ascii="宋体" w:hAnsi="宋体" w:cs="宋体"/>
                <w:b/>
                <w:bCs/>
                <w:szCs w:val="21"/>
              </w:rPr>
              <w:t>分</w:t>
            </w:r>
            <w:r>
              <w:rPr>
                <w:rFonts w:hint="eastAsia" w:ascii="宋体" w:hAnsi="宋体" w:cs="宋体"/>
                <w:b/>
                <w:bCs/>
                <w:szCs w:val="21"/>
              </w:rPr>
              <w:t>数</w:t>
            </w:r>
          </w:p>
        </w:tc>
        <w:tc>
          <w:tcPr>
            <w:tcW w:w="375" w:type="pct"/>
            <w:shd w:val="clear" w:color="auto" w:fill="auto"/>
            <w:vAlign w:val="center"/>
          </w:tcPr>
          <w:p>
            <w:pPr>
              <w:jc w:val="center"/>
              <w:rPr>
                <w:rFonts w:ascii="宋体" w:hAnsi="宋体" w:cs="宋体"/>
                <w:b/>
                <w:bCs/>
                <w:szCs w:val="21"/>
              </w:rPr>
            </w:pPr>
            <w:r>
              <w:rPr>
                <w:rFonts w:ascii="宋体" w:hAnsi="宋体" w:cs="宋体"/>
                <w:b/>
                <w:bCs/>
                <w:szCs w:val="21"/>
              </w:rPr>
              <w:t>条文</w:t>
            </w:r>
          </w:p>
          <w:p>
            <w:pPr>
              <w:jc w:val="center"/>
              <w:rPr>
                <w:rFonts w:ascii="宋体" w:hAnsi="宋体" w:cs="宋体"/>
                <w:b/>
                <w:bCs/>
                <w:szCs w:val="21"/>
              </w:rPr>
            </w:pPr>
            <w:r>
              <w:rPr>
                <w:rFonts w:ascii="宋体" w:hAnsi="宋体" w:cs="宋体"/>
                <w:b/>
                <w:bCs/>
                <w:szCs w:val="21"/>
              </w:rPr>
              <w:t>总分</w:t>
            </w:r>
          </w:p>
        </w:tc>
        <w:tc>
          <w:tcPr>
            <w:tcW w:w="455" w:type="pct"/>
            <w:vMerge w:val="continue"/>
            <w:vAlign w:val="center"/>
          </w:tcPr>
          <w:p>
            <w:pPr>
              <w:rPr>
                <w:rFonts w:ascii="宋体" w:hAnsi="宋体" w:cs="宋体"/>
                <w:b/>
                <w:bCs/>
                <w:sz w:val="20"/>
              </w:rPr>
            </w:pPr>
          </w:p>
        </w:tc>
        <w:tc>
          <w:tcPr>
            <w:tcW w:w="386" w:type="pct"/>
            <w:vMerge w:val="continue"/>
          </w:tcPr>
          <w:p>
            <w:pPr>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restart"/>
            <w:vAlign w:val="center"/>
          </w:tcPr>
          <w:p>
            <w:pPr>
              <w:rPr>
                <w:rFonts w:ascii="宋体" w:hAnsi="宋体" w:cs="宋体"/>
                <w:sz w:val="20"/>
              </w:rPr>
            </w:pPr>
            <w:r>
              <w:rPr>
                <w:rFonts w:ascii="宋体" w:hAnsi="宋体" w:cs="宋体"/>
                <w:b/>
                <w:bCs/>
                <w:sz w:val="20"/>
              </w:rPr>
              <w:t>安全耐久</w:t>
            </w:r>
          </w:p>
        </w:tc>
        <w:tc>
          <w:tcPr>
            <w:tcW w:w="492" w:type="pct"/>
            <w:shd w:val="clear" w:color="auto" w:fill="auto"/>
            <w:noWrap/>
            <w:vAlign w:val="center"/>
          </w:tcPr>
          <w:p>
            <w:pPr>
              <w:widowControl/>
              <w:rPr>
                <w:rFonts w:ascii="宋体" w:hAnsi="宋体" w:cs="宋体"/>
                <w:sz w:val="20"/>
              </w:rPr>
            </w:pPr>
            <w:r>
              <w:rPr>
                <w:rFonts w:ascii="宋体" w:hAnsi="宋体" w:cs="宋体"/>
                <w:sz w:val="20"/>
              </w:rPr>
              <w:t>4.1.1</w:t>
            </w:r>
          </w:p>
        </w:tc>
        <w:tc>
          <w:tcPr>
            <w:tcW w:w="2646" w:type="pct"/>
            <w:gridSpan w:val="9"/>
            <w:shd w:val="clear" w:color="auto" w:fill="auto"/>
            <w:vAlign w:val="center"/>
          </w:tcPr>
          <w:p>
            <w:pPr>
              <w:widowControl/>
              <w:rPr>
                <w:rFonts w:ascii="宋体" w:hAnsi="宋体" w:cs="宋体"/>
                <w:b/>
                <w:bCs/>
                <w:sz w:val="20"/>
              </w:rPr>
            </w:pPr>
            <w:r>
              <w:rPr>
                <w:rFonts w:ascii="宋体" w:hAnsi="宋体" w:cs="宋体"/>
                <w:sz w:val="20"/>
              </w:rPr>
              <w:t>场地应避开滑坡、泥石流等地质危险地段，易发生洪涝区有可靠的防涝基础设施；场地应无危险化学品、易燃易爆危险源的威胁，应无电磁辐射、含氡土壤的危害。</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jc w:val="left"/>
              <w:rPr>
                <w:rFonts w:ascii="宋体" w:hAnsi="宋体" w:cs="宋体"/>
                <w:b/>
                <w:bCs/>
                <w:sz w:val="20"/>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4.1.2</w:t>
            </w:r>
          </w:p>
        </w:tc>
        <w:tc>
          <w:tcPr>
            <w:tcW w:w="2646" w:type="pct"/>
            <w:gridSpan w:val="9"/>
            <w:shd w:val="clear" w:color="auto" w:fill="auto"/>
            <w:vAlign w:val="center"/>
          </w:tcPr>
          <w:p>
            <w:pPr>
              <w:widowControl/>
              <w:rPr>
                <w:rFonts w:ascii="宋体" w:hAnsi="宋体" w:cs="宋体"/>
                <w:b/>
                <w:bCs/>
                <w:sz w:val="20"/>
              </w:rPr>
            </w:pPr>
            <w:r>
              <w:rPr>
                <w:rFonts w:ascii="宋体" w:hAnsi="宋体" w:cs="宋体"/>
                <w:sz w:val="20"/>
              </w:rPr>
              <w:t>建筑结构应满足承载力和建筑使用功能要求。建筑外墙、屋面、门窗、幕墙及外保温等围护结构应满足安全、耐久和防护的要求。</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4.1.3</w:t>
            </w:r>
          </w:p>
        </w:tc>
        <w:tc>
          <w:tcPr>
            <w:tcW w:w="2646" w:type="pct"/>
            <w:gridSpan w:val="9"/>
            <w:shd w:val="clear" w:color="auto" w:fill="auto"/>
            <w:vAlign w:val="center"/>
          </w:tcPr>
          <w:p>
            <w:pPr>
              <w:widowControl/>
              <w:rPr>
                <w:rFonts w:ascii="宋体" w:hAnsi="宋体" w:cs="宋体"/>
                <w:b/>
                <w:bCs/>
                <w:sz w:val="20"/>
              </w:rPr>
            </w:pPr>
            <w:r>
              <w:rPr>
                <w:rFonts w:ascii="宋体" w:hAnsi="宋体" w:cs="宋体"/>
                <w:sz w:val="20"/>
              </w:rPr>
              <w:t>外遮阳、太阳能设施、空调室外机位、外墙花池等外部设施应与建筑主体结构统一设计、施工，并应具备安装、检修与维护条件。</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4.1.4</w:t>
            </w:r>
          </w:p>
        </w:tc>
        <w:tc>
          <w:tcPr>
            <w:tcW w:w="2646" w:type="pct"/>
            <w:gridSpan w:val="9"/>
            <w:shd w:val="clear" w:color="auto" w:fill="auto"/>
            <w:vAlign w:val="center"/>
          </w:tcPr>
          <w:p>
            <w:pPr>
              <w:widowControl/>
              <w:rPr>
                <w:rFonts w:ascii="宋体" w:hAnsi="宋体" w:cs="宋体"/>
                <w:b/>
                <w:bCs/>
                <w:sz w:val="20"/>
              </w:rPr>
            </w:pPr>
            <w:r>
              <w:rPr>
                <w:rFonts w:ascii="宋体" w:hAnsi="宋体" w:cs="宋体"/>
                <w:sz w:val="20"/>
              </w:rPr>
              <w:t>建筑内部的非结构构件、设备及附属设施等应连接牢固并能适应主体结构变形。</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4.1.5</w:t>
            </w:r>
          </w:p>
        </w:tc>
        <w:tc>
          <w:tcPr>
            <w:tcW w:w="2646" w:type="pct"/>
            <w:gridSpan w:val="9"/>
            <w:shd w:val="clear" w:color="auto" w:fill="auto"/>
            <w:vAlign w:val="center"/>
          </w:tcPr>
          <w:p>
            <w:pPr>
              <w:widowControl/>
              <w:rPr>
                <w:rFonts w:ascii="宋体" w:hAnsi="宋体" w:cs="宋体"/>
                <w:b/>
                <w:bCs/>
                <w:sz w:val="20"/>
              </w:rPr>
            </w:pPr>
            <w:r>
              <w:rPr>
                <w:rFonts w:ascii="宋体" w:hAnsi="宋体" w:cs="宋体"/>
                <w:sz w:val="20"/>
              </w:rPr>
              <w:t>建筑外门窗必须安装牢靠，其抗风压性能和水密性能应符合国家现行有关标准的规定。</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4.1.6</w:t>
            </w:r>
          </w:p>
        </w:tc>
        <w:tc>
          <w:tcPr>
            <w:tcW w:w="2646" w:type="pct"/>
            <w:gridSpan w:val="9"/>
            <w:shd w:val="clear" w:color="auto" w:fill="auto"/>
            <w:vAlign w:val="center"/>
          </w:tcPr>
          <w:p>
            <w:pPr>
              <w:widowControl/>
              <w:rPr>
                <w:rFonts w:ascii="宋体" w:hAnsi="宋体" w:cs="宋体"/>
                <w:b/>
                <w:bCs/>
                <w:sz w:val="20"/>
              </w:rPr>
            </w:pPr>
            <w:r>
              <w:rPr>
                <w:rFonts w:ascii="宋体" w:hAnsi="宋体" w:cs="宋体"/>
                <w:sz w:val="20"/>
              </w:rPr>
              <w:t>卫生间、浴室的地面应设置防水层，墙面、顶棚应设置防潮层。</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4.1.7</w:t>
            </w:r>
          </w:p>
        </w:tc>
        <w:tc>
          <w:tcPr>
            <w:tcW w:w="2646" w:type="pct"/>
            <w:gridSpan w:val="9"/>
            <w:shd w:val="clear" w:color="auto" w:fill="auto"/>
            <w:vAlign w:val="center"/>
          </w:tcPr>
          <w:p>
            <w:pPr>
              <w:widowControl/>
              <w:rPr>
                <w:rFonts w:ascii="宋体" w:hAnsi="宋体" w:cs="宋体"/>
                <w:b/>
                <w:bCs/>
                <w:sz w:val="20"/>
              </w:rPr>
            </w:pPr>
            <w:r>
              <w:rPr>
                <w:rFonts w:ascii="宋体" w:hAnsi="宋体" w:cs="宋体"/>
                <w:sz w:val="20"/>
              </w:rPr>
              <w:t>走廊、疏散通道等通行空间应满足紧急疏散、应急救护等要求，且应保持畅通。</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4.1.8</w:t>
            </w:r>
          </w:p>
        </w:tc>
        <w:tc>
          <w:tcPr>
            <w:tcW w:w="2646" w:type="pct"/>
            <w:gridSpan w:val="9"/>
            <w:shd w:val="clear" w:color="auto" w:fill="auto"/>
            <w:vAlign w:val="center"/>
          </w:tcPr>
          <w:p>
            <w:pPr>
              <w:widowControl/>
              <w:rPr>
                <w:rFonts w:ascii="宋体" w:hAnsi="宋体" w:cs="宋体"/>
                <w:b/>
                <w:bCs/>
                <w:sz w:val="20"/>
              </w:rPr>
            </w:pPr>
            <w:r>
              <w:rPr>
                <w:rFonts w:ascii="宋体" w:hAnsi="宋体" w:cs="宋体"/>
                <w:sz w:val="20"/>
              </w:rPr>
              <w:t>应具有安全防护的警示和引导标识系统。</w:t>
            </w:r>
          </w:p>
        </w:tc>
        <w:tc>
          <w:tcPr>
            <w:tcW w:w="766" w:type="pct"/>
            <w:gridSpan w:val="2"/>
            <w:vAlign w:val="center"/>
          </w:tcPr>
          <w:p>
            <w:pPr>
              <w:widowControl/>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4.2.1</w:t>
            </w:r>
          </w:p>
        </w:tc>
        <w:tc>
          <w:tcPr>
            <w:tcW w:w="2646" w:type="pct"/>
            <w:gridSpan w:val="9"/>
            <w:shd w:val="clear" w:color="auto" w:fill="auto"/>
            <w:vAlign w:val="center"/>
          </w:tcPr>
          <w:p>
            <w:pPr>
              <w:widowControl/>
              <w:rPr>
                <w:rFonts w:ascii="宋体" w:hAnsi="宋体" w:cs="宋体"/>
                <w:b/>
                <w:bCs/>
                <w:sz w:val="20"/>
              </w:rPr>
            </w:pPr>
            <w:r>
              <w:rPr>
                <w:rFonts w:ascii="宋体" w:hAnsi="宋体" w:cs="宋体"/>
                <w:sz w:val="20"/>
              </w:rPr>
              <w:t>采用基于性能的抗震设计并合理提高建筑的抗震性能。</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shd w:val="clear" w:color="auto" w:fill="auto"/>
            <w:vAlign w:val="center"/>
          </w:tcPr>
          <w:p>
            <w:pPr>
              <w:widowControl/>
              <w:jc w:val="center"/>
              <w:rPr>
                <w:rFonts w:ascii="宋体" w:hAnsi="宋体" w:cs="宋体"/>
                <w:b/>
                <w:bCs/>
                <w:sz w:val="20"/>
              </w:rPr>
            </w:pPr>
            <w:r>
              <w:rPr>
                <w:rFonts w:ascii="宋体" w:hAnsi="宋体" w:cs="宋体"/>
                <w:b/>
                <w:bCs/>
                <w:sz w:val="20"/>
              </w:rPr>
              <w:t>10</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4.2.2</w:t>
            </w:r>
          </w:p>
        </w:tc>
        <w:tc>
          <w:tcPr>
            <w:tcW w:w="512" w:type="pct"/>
            <w:vMerge w:val="restart"/>
            <w:shd w:val="clear" w:color="auto" w:fill="auto"/>
            <w:vAlign w:val="center"/>
          </w:tcPr>
          <w:p>
            <w:pPr>
              <w:widowControl/>
              <w:rPr>
                <w:rFonts w:ascii="宋体" w:hAnsi="宋体" w:cs="宋体"/>
                <w:b/>
                <w:bCs/>
                <w:sz w:val="20"/>
              </w:rPr>
            </w:pPr>
            <w:r>
              <w:rPr>
                <w:rFonts w:ascii="宋体" w:hAnsi="宋体" w:cs="宋体"/>
                <w:sz w:val="20"/>
              </w:rPr>
              <w:t>采取保障人员安全的防护措施。</w:t>
            </w:r>
          </w:p>
        </w:tc>
        <w:tc>
          <w:tcPr>
            <w:tcW w:w="2134" w:type="pct"/>
            <w:gridSpan w:val="8"/>
            <w:shd w:val="clear" w:color="auto" w:fill="auto"/>
            <w:vAlign w:val="center"/>
          </w:tcPr>
          <w:p>
            <w:pPr>
              <w:widowControl/>
              <w:rPr>
                <w:rFonts w:ascii="宋体" w:hAnsi="宋体" w:cs="宋体"/>
                <w:sz w:val="20"/>
              </w:rPr>
            </w:pPr>
            <w:r>
              <w:rPr>
                <w:rFonts w:ascii="宋体" w:hAnsi="宋体" w:cs="宋体"/>
                <w:sz w:val="20"/>
              </w:rPr>
              <w:t>采取措施提高阳台、外窗、窗台、防护栏杆等安全防护水平。</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15</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widowControl/>
              <w:rPr>
                <w:rFonts w:ascii="宋体" w:hAnsi="宋体" w:cs="宋体"/>
                <w:sz w:val="20"/>
              </w:rPr>
            </w:pPr>
            <w:r>
              <w:rPr>
                <w:rFonts w:ascii="宋体" w:hAnsi="宋体" w:cs="宋体"/>
                <w:sz w:val="20"/>
              </w:rPr>
              <w:t>建筑物出入口均设外墙饰面、门窗玻璃意外脱落的防护措施，并与人员通行区域的遮阳、遮风或挡雨措施结合。</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widowControl/>
              <w:rPr>
                <w:rFonts w:ascii="宋体" w:hAnsi="宋体" w:cs="宋体"/>
                <w:sz w:val="20"/>
              </w:rPr>
            </w:pPr>
            <w:r>
              <w:rPr>
                <w:rFonts w:ascii="宋体" w:hAnsi="宋体" w:cs="宋体"/>
                <w:sz w:val="20"/>
              </w:rPr>
              <w:t>利用场地或景观形成可降低坠物风险的缓冲区、隔离带。</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4.2.3</w:t>
            </w:r>
          </w:p>
        </w:tc>
        <w:tc>
          <w:tcPr>
            <w:tcW w:w="512" w:type="pct"/>
            <w:vMerge w:val="restart"/>
            <w:shd w:val="clear" w:color="auto" w:fill="auto"/>
            <w:vAlign w:val="center"/>
          </w:tcPr>
          <w:p>
            <w:pPr>
              <w:widowControl/>
              <w:rPr>
                <w:rFonts w:ascii="宋体" w:hAnsi="宋体" w:cs="宋体"/>
                <w:b/>
                <w:bCs/>
                <w:sz w:val="20"/>
              </w:rPr>
            </w:pPr>
            <w:r>
              <w:rPr>
                <w:rFonts w:ascii="宋体" w:hAnsi="宋体" w:cs="宋体"/>
                <w:sz w:val="20"/>
              </w:rPr>
              <w:t>采用具有安全防护功能的产品或配件。</w:t>
            </w:r>
          </w:p>
        </w:tc>
        <w:tc>
          <w:tcPr>
            <w:tcW w:w="2134" w:type="pct"/>
            <w:gridSpan w:val="8"/>
            <w:shd w:val="clear" w:color="auto" w:fill="auto"/>
            <w:vAlign w:val="center"/>
          </w:tcPr>
          <w:p>
            <w:pPr>
              <w:widowControl/>
              <w:rPr>
                <w:rFonts w:ascii="宋体" w:hAnsi="宋体" w:cs="宋体"/>
                <w:sz w:val="20"/>
              </w:rPr>
            </w:pPr>
            <w:r>
              <w:rPr>
                <w:rFonts w:ascii="宋体" w:hAnsi="宋体" w:cs="宋体"/>
                <w:sz w:val="20"/>
              </w:rPr>
              <w:t>采用具有安全防护功能的玻璃。</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10</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widowControl/>
              <w:rPr>
                <w:rFonts w:ascii="宋体" w:hAnsi="宋体" w:cs="宋体"/>
                <w:sz w:val="20"/>
              </w:rPr>
            </w:pPr>
            <w:r>
              <w:rPr>
                <w:rFonts w:ascii="宋体" w:hAnsi="宋体" w:cs="宋体"/>
                <w:sz w:val="20"/>
              </w:rPr>
              <w:t>采用具备防夹功能的门窗。</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4.2.4</w:t>
            </w:r>
          </w:p>
        </w:tc>
        <w:tc>
          <w:tcPr>
            <w:tcW w:w="512" w:type="pct"/>
            <w:vMerge w:val="restart"/>
            <w:shd w:val="clear" w:color="auto" w:fill="auto"/>
            <w:vAlign w:val="center"/>
          </w:tcPr>
          <w:p>
            <w:pPr>
              <w:widowControl/>
              <w:rPr>
                <w:rFonts w:ascii="宋体" w:hAnsi="宋体" w:cs="宋体"/>
                <w:b/>
                <w:bCs/>
                <w:sz w:val="20"/>
              </w:rPr>
            </w:pPr>
            <w:r>
              <w:rPr>
                <w:rFonts w:ascii="宋体" w:hAnsi="宋体" w:cs="宋体"/>
                <w:sz w:val="20"/>
              </w:rPr>
              <w:t>室内外地面或路面设置防滑措施。</w:t>
            </w:r>
          </w:p>
        </w:tc>
        <w:tc>
          <w:tcPr>
            <w:tcW w:w="2134" w:type="pct"/>
            <w:gridSpan w:val="8"/>
            <w:shd w:val="clear" w:color="auto" w:fill="auto"/>
            <w:vAlign w:val="center"/>
          </w:tcPr>
          <w:p>
            <w:pPr>
              <w:widowControl/>
              <w:rPr>
                <w:rFonts w:ascii="宋体" w:hAnsi="宋体" w:cs="宋体"/>
                <w:sz w:val="20"/>
              </w:rPr>
            </w:pPr>
            <w:r>
              <w:rPr>
                <w:rFonts w:ascii="宋体" w:hAnsi="宋体" w:cs="宋体"/>
                <w:sz w:val="20"/>
              </w:rPr>
              <w:t>建筑出入口及平台、公共走廊、电梯门厅、厨房、浴室、卫生间等设置防滑措施，防滑等级不低于现行行业标准《建筑地面工程防滑技术规程》JGJ/T 331规定的B</w:t>
            </w:r>
            <w:r>
              <w:rPr>
                <w:rFonts w:ascii="宋体" w:hAnsi="宋体" w:cs="宋体"/>
                <w:sz w:val="20"/>
                <w:vertAlign w:val="subscript"/>
              </w:rPr>
              <w:t>d</w:t>
            </w:r>
            <w:r>
              <w:rPr>
                <w:rFonts w:ascii="宋体" w:hAnsi="宋体" w:cs="宋体"/>
                <w:sz w:val="20"/>
              </w:rPr>
              <w:t>、B</w:t>
            </w:r>
            <w:r>
              <w:rPr>
                <w:rFonts w:ascii="宋体" w:hAnsi="宋体" w:cs="宋体"/>
                <w:sz w:val="20"/>
                <w:vertAlign w:val="subscript"/>
              </w:rPr>
              <w:t>w</w:t>
            </w:r>
            <w:r>
              <w:rPr>
                <w:rFonts w:ascii="宋体" w:hAnsi="宋体" w:cs="宋体"/>
                <w:sz w:val="20"/>
              </w:rPr>
              <w:t>级。</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10</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widowControl/>
              <w:rPr>
                <w:rFonts w:ascii="宋体" w:hAnsi="宋体" w:cs="宋体"/>
                <w:sz w:val="20"/>
              </w:rPr>
            </w:pPr>
            <w:r>
              <w:rPr>
                <w:rFonts w:ascii="宋体" w:hAnsi="宋体" w:cs="宋体"/>
                <w:sz w:val="20"/>
              </w:rPr>
              <w:t>建筑室内外活动场地所采用的防滑地面，防滑等级达到现行行业标准《建筑地面工程防滑技术规程》</w:t>
            </w:r>
            <w:r>
              <w:rPr>
                <w:rFonts w:ascii="宋体" w:hAnsi="宋体" w:cs="宋体"/>
                <w:sz w:val="20"/>
                <w:szCs w:val="22"/>
              </w:rPr>
              <w:t>JGJ/T 331</w:t>
            </w:r>
            <w:r>
              <w:rPr>
                <w:rFonts w:ascii="宋体" w:hAnsi="宋体" w:cs="宋体"/>
                <w:sz w:val="20"/>
              </w:rPr>
              <w:t>规定的A</w:t>
            </w:r>
            <w:r>
              <w:rPr>
                <w:rFonts w:ascii="宋体" w:hAnsi="宋体" w:cs="宋体"/>
                <w:sz w:val="20"/>
                <w:vertAlign w:val="subscript"/>
              </w:rPr>
              <w:t>d</w:t>
            </w:r>
            <w:r>
              <w:rPr>
                <w:rFonts w:ascii="宋体" w:hAnsi="宋体" w:cs="宋体"/>
                <w:sz w:val="20"/>
              </w:rPr>
              <w:t>、A</w:t>
            </w:r>
            <w:r>
              <w:rPr>
                <w:rFonts w:ascii="宋体" w:hAnsi="宋体" w:cs="宋体"/>
                <w:sz w:val="20"/>
                <w:vertAlign w:val="subscript"/>
              </w:rPr>
              <w:t>w</w:t>
            </w:r>
            <w:r>
              <w:rPr>
                <w:rFonts w:ascii="宋体" w:hAnsi="宋体" w:cs="宋体"/>
                <w:sz w:val="20"/>
              </w:rPr>
              <w:t>级。</w:t>
            </w:r>
          </w:p>
        </w:tc>
        <w:tc>
          <w:tcPr>
            <w:tcW w:w="391" w:type="pct"/>
            <w:vAlign w:val="center"/>
          </w:tcPr>
          <w:p>
            <w:pPr>
              <w:widowControl/>
              <w:jc w:val="center"/>
              <w:rPr>
                <w:rFonts w:ascii="宋体" w:hAnsi="宋体" w:cs="宋体"/>
                <w:b/>
                <w:bCs/>
                <w:sz w:val="20"/>
              </w:rPr>
            </w:pPr>
            <w:r>
              <w:rPr>
                <w:rFonts w:ascii="宋体" w:hAnsi="宋体" w:cs="宋体"/>
                <w:b/>
                <w:bCs/>
                <w:sz w:val="20"/>
              </w:rPr>
              <w:t>4</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widowControl/>
              <w:rPr>
                <w:rFonts w:ascii="宋体" w:hAnsi="宋体" w:cs="宋体"/>
                <w:sz w:val="20"/>
              </w:rPr>
            </w:pPr>
            <w:r>
              <w:rPr>
                <w:rFonts w:ascii="宋体" w:hAnsi="宋体" w:cs="宋体"/>
                <w:sz w:val="20"/>
              </w:rPr>
              <w:t>建筑坡道、楼梯踏步防滑等级达到现行行业标准《建筑地面工程防滑技术规程》</w:t>
            </w:r>
            <w:r>
              <w:rPr>
                <w:rFonts w:ascii="宋体" w:hAnsi="宋体" w:cs="宋体"/>
                <w:sz w:val="20"/>
                <w:szCs w:val="22"/>
              </w:rPr>
              <w:t>JGJ/T 331</w:t>
            </w:r>
            <w:r>
              <w:rPr>
                <w:rFonts w:ascii="宋体" w:hAnsi="宋体" w:cs="宋体"/>
                <w:sz w:val="20"/>
              </w:rPr>
              <w:t>规定的A</w:t>
            </w:r>
            <w:r>
              <w:rPr>
                <w:rFonts w:ascii="宋体" w:hAnsi="宋体" w:cs="宋体"/>
                <w:sz w:val="20"/>
                <w:vertAlign w:val="subscript"/>
              </w:rPr>
              <w:t>d</w:t>
            </w:r>
            <w:r>
              <w:rPr>
                <w:rFonts w:ascii="宋体" w:hAnsi="宋体" w:cs="宋体"/>
                <w:sz w:val="20"/>
              </w:rPr>
              <w:t>、A</w:t>
            </w:r>
            <w:r>
              <w:rPr>
                <w:rFonts w:ascii="宋体" w:hAnsi="宋体" w:cs="宋体"/>
                <w:sz w:val="20"/>
                <w:vertAlign w:val="subscript"/>
              </w:rPr>
              <w:t>w</w:t>
            </w:r>
            <w:r>
              <w:rPr>
                <w:rFonts w:ascii="宋体" w:hAnsi="宋体" w:cs="宋体"/>
                <w:sz w:val="20"/>
              </w:rPr>
              <w:t>级或按水平地面等级提高一级，并采用防滑条等防滑构造技术措施。</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4.2.5</w:t>
            </w:r>
          </w:p>
        </w:tc>
        <w:tc>
          <w:tcPr>
            <w:tcW w:w="2646" w:type="pct"/>
            <w:gridSpan w:val="9"/>
            <w:shd w:val="clear" w:color="auto" w:fill="auto"/>
            <w:vAlign w:val="center"/>
          </w:tcPr>
          <w:p>
            <w:pPr>
              <w:widowControl/>
              <w:rPr>
                <w:rFonts w:ascii="宋体" w:hAnsi="宋体" w:cs="宋体"/>
                <w:b/>
                <w:bCs/>
                <w:sz w:val="20"/>
              </w:rPr>
            </w:pPr>
            <w:r>
              <w:rPr>
                <w:rFonts w:ascii="宋体" w:hAnsi="宋体" w:cs="宋体"/>
                <w:sz w:val="20"/>
              </w:rPr>
              <w:t>采取人车分流措施，且步行和自行车交通系统有充足照明。</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Align w:val="center"/>
          </w:tcPr>
          <w:p>
            <w:pPr>
              <w:widowControl/>
              <w:jc w:val="center"/>
              <w:rPr>
                <w:rFonts w:ascii="宋体" w:hAnsi="宋体" w:cs="宋体"/>
                <w:b/>
                <w:bCs/>
                <w:sz w:val="20"/>
              </w:rPr>
            </w:pPr>
            <w:r>
              <w:rPr>
                <w:rFonts w:ascii="宋体" w:hAnsi="宋体" w:cs="宋体"/>
                <w:b/>
                <w:bCs/>
                <w:sz w:val="20"/>
              </w:rPr>
              <w:t>8</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4.2.6</w:t>
            </w:r>
          </w:p>
        </w:tc>
        <w:tc>
          <w:tcPr>
            <w:tcW w:w="512" w:type="pct"/>
            <w:vMerge w:val="restart"/>
            <w:shd w:val="clear" w:color="auto" w:fill="auto"/>
            <w:vAlign w:val="center"/>
          </w:tcPr>
          <w:p>
            <w:pPr>
              <w:widowControl/>
              <w:rPr>
                <w:rFonts w:ascii="宋体" w:hAnsi="宋体" w:cs="宋体"/>
                <w:b/>
                <w:bCs/>
                <w:sz w:val="20"/>
              </w:rPr>
            </w:pPr>
            <w:r>
              <w:rPr>
                <w:rFonts w:ascii="宋体" w:hAnsi="宋体" w:cs="宋体"/>
                <w:sz w:val="20"/>
              </w:rPr>
              <w:t>采取提升建筑适变性的措施。</w:t>
            </w:r>
          </w:p>
        </w:tc>
        <w:tc>
          <w:tcPr>
            <w:tcW w:w="2134" w:type="pct"/>
            <w:gridSpan w:val="8"/>
            <w:shd w:val="clear" w:color="auto" w:fill="auto"/>
            <w:vAlign w:val="center"/>
          </w:tcPr>
          <w:p>
            <w:pPr>
              <w:widowControl/>
              <w:rPr>
                <w:rFonts w:ascii="宋体" w:hAnsi="宋体" w:cs="宋体"/>
                <w:sz w:val="20"/>
              </w:rPr>
            </w:pPr>
            <w:r>
              <w:rPr>
                <w:rFonts w:ascii="宋体" w:hAnsi="宋体" w:cs="宋体"/>
                <w:sz w:val="20"/>
              </w:rPr>
              <w:t>采取通用开放、灵活可变的使用空间设计，或采取建筑使用功能可变措施。</w:t>
            </w:r>
          </w:p>
        </w:tc>
        <w:tc>
          <w:tcPr>
            <w:tcW w:w="391" w:type="pct"/>
            <w:vAlign w:val="center"/>
          </w:tcPr>
          <w:p>
            <w:pPr>
              <w:widowControl/>
              <w:jc w:val="center"/>
              <w:rPr>
                <w:rFonts w:ascii="宋体" w:hAnsi="宋体" w:cs="宋体"/>
                <w:b/>
                <w:bCs/>
                <w:sz w:val="20"/>
              </w:rPr>
            </w:pPr>
            <w:r>
              <w:rPr>
                <w:rFonts w:ascii="宋体" w:hAnsi="宋体" w:cs="宋体"/>
                <w:b/>
                <w:bCs/>
                <w:sz w:val="20"/>
              </w:rPr>
              <w:t>7</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18</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widowControl/>
              <w:rPr>
                <w:rFonts w:ascii="宋体" w:hAnsi="宋体" w:cs="宋体"/>
                <w:sz w:val="20"/>
              </w:rPr>
            </w:pPr>
            <w:r>
              <w:rPr>
                <w:rFonts w:ascii="宋体" w:hAnsi="宋体" w:cs="宋体"/>
                <w:sz w:val="20"/>
              </w:rPr>
              <w:t>建筑结构与建筑设备管线分离。</w:t>
            </w:r>
          </w:p>
        </w:tc>
        <w:tc>
          <w:tcPr>
            <w:tcW w:w="391" w:type="pct"/>
            <w:vAlign w:val="center"/>
          </w:tcPr>
          <w:p>
            <w:pPr>
              <w:widowControl/>
              <w:jc w:val="center"/>
              <w:rPr>
                <w:rFonts w:ascii="宋体" w:hAnsi="宋体" w:cs="宋体"/>
                <w:b/>
                <w:bCs/>
                <w:sz w:val="20"/>
              </w:rPr>
            </w:pPr>
            <w:r>
              <w:rPr>
                <w:rFonts w:ascii="宋体" w:hAnsi="宋体" w:cs="宋体"/>
                <w:b/>
                <w:bCs/>
                <w:sz w:val="20"/>
              </w:rPr>
              <w:t>7</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widowControl/>
              <w:rPr>
                <w:rFonts w:ascii="宋体" w:hAnsi="宋体" w:cs="宋体"/>
                <w:sz w:val="20"/>
              </w:rPr>
            </w:pPr>
            <w:r>
              <w:rPr>
                <w:rFonts w:ascii="宋体" w:hAnsi="宋体" w:cs="宋体"/>
                <w:sz w:val="20"/>
              </w:rPr>
              <w:t>采用与建筑功能和空间变化相适应的设备设施布置方式或控制方式。</w:t>
            </w:r>
          </w:p>
        </w:tc>
        <w:tc>
          <w:tcPr>
            <w:tcW w:w="391" w:type="pct"/>
            <w:vAlign w:val="center"/>
          </w:tcPr>
          <w:p>
            <w:pPr>
              <w:widowControl/>
              <w:jc w:val="center"/>
              <w:rPr>
                <w:rFonts w:ascii="宋体" w:hAnsi="宋体" w:cs="宋体"/>
                <w:b/>
                <w:bCs/>
                <w:sz w:val="20"/>
              </w:rPr>
            </w:pPr>
            <w:r>
              <w:rPr>
                <w:rFonts w:ascii="宋体" w:hAnsi="宋体" w:cs="宋体"/>
                <w:b/>
                <w:bCs/>
                <w:sz w:val="20"/>
              </w:rPr>
              <w:t>4</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4.2.7</w:t>
            </w:r>
          </w:p>
        </w:tc>
        <w:tc>
          <w:tcPr>
            <w:tcW w:w="512" w:type="pct"/>
            <w:vMerge w:val="restart"/>
            <w:shd w:val="clear" w:color="auto" w:fill="auto"/>
            <w:vAlign w:val="center"/>
          </w:tcPr>
          <w:p>
            <w:pPr>
              <w:widowControl/>
              <w:rPr>
                <w:rFonts w:ascii="宋体" w:hAnsi="宋体" w:cs="宋体"/>
                <w:b/>
                <w:bCs/>
                <w:sz w:val="20"/>
              </w:rPr>
            </w:pPr>
            <w:r>
              <w:rPr>
                <w:rFonts w:ascii="宋体" w:hAnsi="宋体" w:cs="宋体"/>
                <w:sz w:val="20"/>
              </w:rPr>
              <w:t>采取提升建筑部品部件耐久性的措施。</w:t>
            </w:r>
          </w:p>
        </w:tc>
        <w:tc>
          <w:tcPr>
            <w:tcW w:w="2134" w:type="pct"/>
            <w:gridSpan w:val="8"/>
            <w:shd w:val="clear" w:color="auto" w:fill="auto"/>
            <w:vAlign w:val="center"/>
          </w:tcPr>
          <w:p>
            <w:pPr>
              <w:widowControl/>
              <w:rPr>
                <w:rFonts w:ascii="宋体" w:hAnsi="宋体" w:cs="宋体"/>
                <w:sz w:val="20"/>
              </w:rPr>
            </w:pPr>
            <w:r>
              <w:rPr>
                <w:rFonts w:ascii="宋体" w:hAnsi="宋体" w:cs="宋体"/>
                <w:sz w:val="20"/>
              </w:rPr>
              <w:t>使用耐腐蚀、抗老化、耐久性能好的管材、管线、管件。</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10</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widowControl/>
              <w:rPr>
                <w:rFonts w:ascii="宋体" w:hAnsi="宋体" w:cs="宋体"/>
                <w:sz w:val="20"/>
              </w:rPr>
            </w:pPr>
            <w:r>
              <w:rPr>
                <w:rFonts w:ascii="宋体" w:hAnsi="宋体" w:cs="宋体"/>
                <w:sz w:val="20"/>
              </w:rPr>
              <w:t>活动配件选用长寿命产品，并考虑部品组合的同寿命性；不同使用寿命的部品组合时，采用便于分别拆换、更新和升级的构造。</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shd w:val="clear" w:color="000000" w:fill="FFFFFF"/>
            <w:vAlign w:val="center"/>
          </w:tcPr>
          <w:p>
            <w:pPr>
              <w:widowControl/>
              <w:rPr>
                <w:rFonts w:ascii="宋体" w:hAnsi="宋体" w:cs="宋体"/>
                <w:sz w:val="20"/>
              </w:rPr>
            </w:pPr>
          </w:p>
        </w:tc>
        <w:tc>
          <w:tcPr>
            <w:tcW w:w="492" w:type="pct"/>
            <w:vMerge w:val="restart"/>
            <w:shd w:val="clear" w:color="000000" w:fill="FFFFFF"/>
            <w:noWrap/>
            <w:vAlign w:val="center"/>
          </w:tcPr>
          <w:p>
            <w:pPr>
              <w:widowControl/>
              <w:rPr>
                <w:rFonts w:ascii="宋体" w:hAnsi="宋体" w:cs="宋体"/>
                <w:sz w:val="20"/>
              </w:rPr>
            </w:pPr>
            <w:r>
              <w:rPr>
                <w:rFonts w:ascii="宋体" w:hAnsi="宋体" w:cs="宋体"/>
                <w:sz w:val="20"/>
              </w:rPr>
              <w:t>4.2.8</w:t>
            </w:r>
          </w:p>
        </w:tc>
        <w:tc>
          <w:tcPr>
            <w:tcW w:w="512" w:type="pct"/>
            <w:vMerge w:val="restart"/>
            <w:shd w:val="clear" w:color="000000" w:fill="FFFFFF"/>
            <w:vAlign w:val="center"/>
          </w:tcPr>
          <w:p>
            <w:pPr>
              <w:widowControl/>
              <w:rPr>
                <w:rFonts w:ascii="宋体" w:hAnsi="宋体" w:cs="宋体"/>
                <w:b/>
                <w:bCs/>
                <w:sz w:val="20"/>
              </w:rPr>
            </w:pPr>
            <w:r>
              <w:rPr>
                <w:rFonts w:ascii="宋体" w:hAnsi="宋体" w:cs="宋体"/>
                <w:sz w:val="20"/>
              </w:rPr>
              <w:t>提高建筑结构材料的耐久性</w:t>
            </w:r>
          </w:p>
        </w:tc>
        <w:tc>
          <w:tcPr>
            <w:tcW w:w="2134" w:type="pct"/>
            <w:gridSpan w:val="8"/>
            <w:shd w:val="clear" w:color="000000" w:fill="FFFFFF"/>
            <w:vAlign w:val="center"/>
          </w:tcPr>
          <w:p>
            <w:pPr>
              <w:widowControl/>
              <w:rPr>
                <w:rFonts w:ascii="宋体" w:hAnsi="宋体" w:cs="宋体"/>
                <w:sz w:val="20"/>
              </w:rPr>
            </w:pPr>
            <w:r>
              <w:rPr>
                <w:rFonts w:ascii="宋体" w:hAnsi="宋体" w:cs="宋体"/>
                <w:sz w:val="20"/>
              </w:rPr>
              <w:t>按100年进行耐久性设计。</w:t>
            </w:r>
          </w:p>
        </w:tc>
        <w:tc>
          <w:tcPr>
            <w:tcW w:w="391" w:type="pct"/>
            <w:shd w:val="clear" w:color="000000" w:fill="FFFFFF"/>
            <w:vAlign w:val="center"/>
          </w:tcPr>
          <w:p>
            <w:pPr>
              <w:widowControl/>
              <w:jc w:val="center"/>
              <w:rPr>
                <w:rFonts w:ascii="宋体" w:hAnsi="宋体" w:cs="宋体"/>
                <w:b/>
                <w:bCs/>
                <w:sz w:val="20"/>
              </w:rPr>
            </w:pPr>
            <w:r>
              <w:rPr>
                <w:rFonts w:ascii="宋体" w:hAnsi="宋体" w:cs="宋体"/>
                <w:b/>
                <w:bCs/>
                <w:sz w:val="20"/>
              </w:rPr>
              <w:t>10</w:t>
            </w:r>
          </w:p>
        </w:tc>
        <w:tc>
          <w:tcPr>
            <w:tcW w:w="375" w:type="pct"/>
            <w:vMerge w:val="restart"/>
            <w:shd w:val="clear" w:color="000000" w:fill="FFFFFF"/>
            <w:vAlign w:val="center"/>
          </w:tcPr>
          <w:p>
            <w:pPr>
              <w:widowControl/>
              <w:jc w:val="center"/>
              <w:rPr>
                <w:rFonts w:ascii="宋体" w:hAnsi="宋体" w:cs="宋体"/>
                <w:b/>
                <w:bCs/>
                <w:sz w:val="20"/>
              </w:rPr>
            </w:pPr>
            <w:r>
              <w:rPr>
                <w:rFonts w:ascii="宋体" w:hAnsi="宋体" w:cs="宋体"/>
                <w:b/>
                <w:bCs/>
                <w:sz w:val="20"/>
              </w:rPr>
              <w:t>10</w:t>
            </w: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widowControl/>
              <w:rPr>
                <w:rFonts w:ascii="宋体" w:hAnsi="宋体" w:cs="宋体"/>
                <w:sz w:val="20"/>
              </w:rPr>
            </w:pPr>
            <w:r>
              <w:rPr>
                <w:rFonts w:ascii="宋体" w:hAnsi="宋体" w:cs="宋体"/>
                <w:sz w:val="20"/>
              </w:rPr>
              <w:t>采用耐久性能好的建筑结构材料，满足下列条件之一：</w:t>
            </w:r>
          </w:p>
          <w:p>
            <w:pPr>
              <w:widowControl/>
              <w:rPr>
                <w:rFonts w:ascii="宋体" w:hAnsi="宋体" w:cs="宋体"/>
                <w:bCs/>
                <w:sz w:val="20"/>
              </w:rPr>
            </w:pPr>
            <w:r>
              <w:rPr>
                <w:rFonts w:ascii="宋体" w:hAnsi="宋体" w:cs="宋体"/>
                <w:bCs/>
                <w:sz w:val="20"/>
              </w:rPr>
              <w:t>□对于混凝土构件，提高钢筋保护层厚度或采用高耐久混凝土；</w:t>
            </w:r>
          </w:p>
          <w:p>
            <w:pPr>
              <w:pStyle w:val="13"/>
              <w:ind w:firstLine="0" w:firstLineChars="0"/>
              <w:jc w:val="both"/>
              <w:rPr>
                <w:rFonts w:ascii="宋体" w:hAnsi="宋体" w:eastAsia="宋体" w:cs="宋体"/>
                <w:bCs/>
                <w:lang w:eastAsia="zh-CN"/>
              </w:rPr>
            </w:pPr>
            <w:r>
              <w:rPr>
                <w:rFonts w:ascii="宋体" w:hAnsi="宋体" w:eastAsia="宋体" w:cs="宋体"/>
                <w:bCs/>
                <w:lang w:eastAsia="zh-CN"/>
              </w:rPr>
              <w:t>□对于钢构件，采用耐候结构钢及耐候型防腐涂料；</w:t>
            </w:r>
          </w:p>
          <w:p>
            <w:pPr>
              <w:pStyle w:val="13"/>
              <w:ind w:firstLine="0" w:firstLineChars="0"/>
              <w:jc w:val="both"/>
              <w:rPr>
                <w:rFonts w:ascii="宋体" w:hAnsi="宋体" w:eastAsia="宋体" w:cs="宋体"/>
                <w:lang w:eastAsia="zh-CN"/>
              </w:rPr>
            </w:pPr>
            <w:r>
              <w:rPr>
                <w:rFonts w:ascii="宋体" w:hAnsi="宋体" w:eastAsia="宋体" w:cs="宋体"/>
                <w:bCs/>
                <w:lang w:eastAsia="zh-CN"/>
              </w:rPr>
              <w:t>□对于木构件，采用防腐木材、耐久木材或耐久木制品。</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Merge w:val="continue"/>
            <w:vAlign w:val="center"/>
          </w:tcPr>
          <w:p>
            <w:pPr>
              <w:widowControl/>
              <w:jc w:val="center"/>
              <w:rPr>
                <w:rFonts w:ascii="宋体" w:hAnsi="宋体" w:cs="宋体"/>
                <w:b/>
                <w:bCs/>
                <w:sz w:val="20"/>
              </w:rPr>
            </w:pP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4.2.9</w:t>
            </w:r>
          </w:p>
        </w:tc>
        <w:tc>
          <w:tcPr>
            <w:tcW w:w="512" w:type="pct"/>
            <w:vMerge w:val="restart"/>
            <w:shd w:val="clear" w:color="auto" w:fill="auto"/>
            <w:vAlign w:val="center"/>
          </w:tcPr>
          <w:p>
            <w:pPr>
              <w:widowControl/>
              <w:rPr>
                <w:rFonts w:ascii="宋体" w:hAnsi="宋体" w:cs="宋体"/>
                <w:b/>
                <w:bCs/>
                <w:sz w:val="20"/>
              </w:rPr>
            </w:pPr>
            <w:r>
              <w:rPr>
                <w:rFonts w:ascii="宋体" w:hAnsi="宋体" w:cs="宋体"/>
                <w:sz w:val="20"/>
              </w:rPr>
              <w:t>合理采用耐久性好、易维护的装饰装修建筑材料。</w:t>
            </w:r>
          </w:p>
        </w:tc>
        <w:tc>
          <w:tcPr>
            <w:tcW w:w="2134" w:type="pct"/>
            <w:gridSpan w:val="8"/>
            <w:shd w:val="clear" w:color="auto" w:fill="auto"/>
            <w:vAlign w:val="center"/>
          </w:tcPr>
          <w:p>
            <w:pPr>
              <w:widowControl/>
              <w:rPr>
                <w:rFonts w:ascii="宋体" w:hAnsi="宋体" w:cs="宋体"/>
                <w:sz w:val="20"/>
              </w:rPr>
            </w:pPr>
            <w:r>
              <w:rPr>
                <w:rFonts w:ascii="宋体" w:hAnsi="宋体" w:cs="宋体"/>
                <w:sz w:val="20"/>
              </w:rPr>
              <w:t>采用耐久性好的外饰面材料。</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9</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widowControl/>
              <w:rPr>
                <w:rFonts w:ascii="宋体" w:hAnsi="宋体" w:cs="宋体"/>
                <w:sz w:val="20"/>
              </w:rPr>
            </w:pPr>
            <w:r>
              <w:rPr>
                <w:rFonts w:ascii="宋体" w:hAnsi="宋体" w:cs="宋体"/>
                <w:sz w:val="20"/>
              </w:rPr>
              <w:t>采用耐久性好的防水和密封材料。</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rPr>
                <w:rFonts w:ascii="宋体" w:hAnsi="宋体" w:cs="宋体"/>
                <w:b/>
                <w:bCs/>
                <w:sz w:val="20"/>
              </w:rPr>
            </w:pPr>
          </w:p>
        </w:tc>
        <w:tc>
          <w:tcPr>
            <w:tcW w:w="2134" w:type="pct"/>
            <w:gridSpan w:val="8"/>
            <w:vAlign w:val="center"/>
          </w:tcPr>
          <w:p>
            <w:pPr>
              <w:widowControl/>
              <w:rPr>
                <w:rFonts w:ascii="宋体" w:hAnsi="宋体" w:cs="宋体"/>
                <w:sz w:val="20"/>
              </w:rPr>
            </w:pPr>
            <w:r>
              <w:rPr>
                <w:rFonts w:ascii="宋体" w:hAnsi="宋体" w:cs="宋体"/>
                <w:sz w:val="20"/>
              </w:rPr>
              <w:t>采用耐久性好、易维护的室内装饰装修材料。</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continue"/>
            <w:vAlign w:val="center"/>
          </w:tcPr>
          <w:p>
            <w:pPr>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restart"/>
            <w:vAlign w:val="center"/>
          </w:tcPr>
          <w:p>
            <w:pPr>
              <w:widowControl/>
              <w:rPr>
                <w:rFonts w:ascii="宋体" w:hAnsi="宋体" w:cs="宋体"/>
                <w:b/>
                <w:bCs/>
                <w:sz w:val="20"/>
              </w:rPr>
            </w:pPr>
          </w:p>
          <w:p>
            <w:pPr>
              <w:widowControl/>
              <w:rPr>
                <w:rFonts w:ascii="宋体" w:hAnsi="宋体" w:cs="宋体"/>
                <w:b/>
                <w:bCs/>
                <w:sz w:val="20"/>
              </w:rPr>
            </w:pPr>
          </w:p>
          <w:p>
            <w:pPr>
              <w:widowControl/>
              <w:rPr>
                <w:rFonts w:ascii="宋体" w:hAnsi="宋体" w:cs="宋体"/>
                <w:b/>
                <w:bCs/>
                <w:sz w:val="20"/>
              </w:rPr>
            </w:pPr>
          </w:p>
          <w:p>
            <w:pPr>
              <w:widowControl/>
              <w:rPr>
                <w:rFonts w:ascii="宋体" w:hAnsi="宋体" w:cs="宋体"/>
                <w:b/>
                <w:bCs/>
                <w:sz w:val="20"/>
              </w:rPr>
            </w:pPr>
          </w:p>
          <w:p>
            <w:pPr>
              <w:widowControl/>
              <w:rPr>
                <w:rFonts w:ascii="宋体" w:hAnsi="宋体" w:cs="宋体"/>
                <w:b/>
                <w:bCs/>
                <w:sz w:val="20"/>
              </w:rPr>
            </w:pPr>
          </w:p>
          <w:p>
            <w:pPr>
              <w:widowControl/>
              <w:rPr>
                <w:rFonts w:ascii="宋体" w:hAnsi="宋体" w:cs="宋体"/>
                <w:b/>
                <w:bCs/>
                <w:sz w:val="20"/>
              </w:rPr>
            </w:pPr>
          </w:p>
          <w:p>
            <w:pPr>
              <w:widowControl/>
              <w:rPr>
                <w:rFonts w:ascii="宋体" w:hAnsi="宋体" w:cs="宋体"/>
                <w:b/>
                <w:bCs/>
                <w:sz w:val="20"/>
              </w:rPr>
            </w:pPr>
          </w:p>
          <w:p>
            <w:pPr>
              <w:widowControl/>
              <w:rPr>
                <w:rFonts w:ascii="宋体" w:hAnsi="宋体" w:cs="宋体"/>
                <w:b/>
                <w:bCs/>
                <w:sz w:val="20"/>
              </w:rPr>
            </w:pPr>
          </w:p>
          <w:p>
            <w:pPr>
              <w:widowControl/>
              <w:rPr>
                <w:rFonts w:ascii="宋体" w:hAnsi="宋体" w:cs="宋体"/>
                <w:b/>
                <w:bCs/>
                <w:sz w:val="20"/>
              </w:rPr>
            </w:pPr>
          </w:p>
          <w:p>
            <w:pPr>
              <w:widowControl/>
              <w:rPr>
                <w:rFonts w:ascii="宋体" w:hAnsi="宋体" w:cs="宋体"/>
                <w:b/>
                <w:bCs/>
                <w:sz w:val="20"/>
              </w:rPr>
            </w:pPr>
            <w:r>
              <w:rPr>
                <w:rFonts w:ascii="宋体" w:hAnsi="宋体" w:cs="宋体"/>
                <w:b/>
                <w:bCs/>
                <w:sz w:val="20"/>
              </w:rPr>
              <w:t>健康舒适</w:t>
            </w:r>
          </w:p>
        </w:tc>
        <w:tc>
          <w:tcPr>
            <w:tcW w:w="492" w:type="pct"/>
            <w:shd w:val="clear" w:color="auto" w:fill="auto"/>
            <w:noWrap/>
            <w:vAlign w:val="center"/>
          </w:tcPr>
          <w:p>
            <w:pPr>
              <w:widowControl/>
              <w:rPr>
                <w:rFonts w:ascii="宋体" w:hAnsi="宋体" w:cs="宋体"/>
                <w:sz w:val="20"/>
              </w:rPr>
            </w:pPr>
            <w:r>
              <w:rPr>
                <w:rFonts w:ascii="宋体" w:hAnsi="宋体" w:cs="宋体"/>
                <w:sz w:val="20"/>
              </w:rPr>
              <w:t>5.1.1</w:t>
            </w:r>
          </w:p>
        </w:tc>
        <w:tc>
          <w:tcPr>
            <w:tcW w:w="2646" w:type="pct"/>
            <w:gridSpan w:val="9"/>
            <w:shd w:val="clear" w:color="auto" w:fill="auto"/>
            <w:vAlign w:val="center"/>
          </w:tcPr>
          <w:p>
            <w:pPr>
              <w:rPr>
                <w:rFonts w:ascii="宋体" w:hAnsi="宋体" w:cs="宋体"/>
                <w:bCs/>
                <w:sz w:val="20"/>
              </w:rPr>
            </w:pPr>
            <w:r>
              <w:rPr>
                <w:rFonts w:ascii="宋体" w:hAnsi="宋体" w:cs="宋体"/>
                <w:bCs/>
                <w:sz w:val="20"/>
              </w:rPr>
              <w:t>室内空气中的氨、甲醛、苯、总挥发性有机物、氡等污染物浓度应符合现行国家标准《室内空气质量标准》GB/T 18883的有关规定。建筑室内和建筑主出入口处应禁止吸烟，并应在醒目位置设置禁烟标志。</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5.1.2</w:t>
            </w:r>
          </w:p>
        </w:tc>
        <w:tc>
          <w:tcPr>
            <w:tcW w:w="2646" w:type="pct"/>
            <w:gridSpan w:val="9"/>
            <w:shd w:val="clear" w:color="auto" w:fill="auto"/>
            <w:vAlign w:val="center"/>
          </w:tcPr>
          <w:p>
            <w:pPr>
              <w:rPr>
                <w:rFonts w:ascii="宋体" w:hAnsi="宋体" w:cs="宋体"/>
                <w:bCs/>
                <w:sz w:val="20"/>
              </w:rPr>
            </w:pPr>
            <w:r>
              <w:rPr>
                <w:rFonts w:ascii="宋体" w:hAnsi="宋体" w:cs="宋体"/>
                <w:bCs/>
                <w:sz w:val="20"/>
              </w:rPr>
              <w:t>应采取措施避免厨房、餐厅、打印复印室、卫生间、地下车库等区域的空气和污染物串通到其他空间；应防止厨房、卫生间的排气倒灌。</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5.1.3</w:t>
            </w:r>
          </w:p>
        </w:tc>
        <w:tc>
          <w:tcPr>
            <w:tcW w:w="512" w:type="pct"/>
            <w:vMerge w:val="restart"/>
            <w:shd w:val="clear" w:color="auto" w:fill="auto"/>
            <w:vAlign w:val="center"/>
          </w:tcPr>
          <w:p>
            <w:pPr>
              <w:rPr>
                <w:rFonts w:ascii="宋体" w:hAnsi="宋体" w:cs="宋体"/>
                <w:bCs/>
                <w:sz w:val="20"/>
              </w:rPr>
            </w:pPr>
            <w:r>
              <w:rPr>
                <w:rFonts w:ascii="宋体" w:hAnsi="宋体" w:cs="宋体"/>
                <w:bCs/>
                <w:sz w:val="20"/>
              </w:rPr>
              <w:t>给排水系统的设置应符合下列规定</w:t>
            </w:r>
          </w:p>
        </w:tc>
        <w:tc>
          <w:tcPr>
            <w:tcW w:w="2134" w:type="pct"/>
            <w:gridSpan w:val="8"/>
            <w:shd w:val="clear" w:color="auto" w:fill="auto"/>
            <w:vAlign w:val="center"/>
          </w:tcPr>
          <w:p>
            <w:pPr>
              <w:rPr>
                <w:rFonts w:ascii="宋体" w:hAnsi="宋体" w:cs="宋体"/>
                <w:bCs/>
                <w:sz w:val="20"/>
              </w:rPr>
            </w:pPr>
            <w:r>
              <w:rPr>
                <w:rFonts w:ascii="宋体" w:hAnsi="宋体" w:cs="宋体"/>
                <w:bCs/>
                <w:sz w:val="20"/>
              </w:rPr>
              <w:t>生活饮用水水质应满足现行国家标准《生活饮用水卫生标准》GB 5749的要求；</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rPr>
                <w:rFonts w:ascii="宋体" w:hAnsi="宋体" w:cs="宋体"/>
                <w:bCs/>
                <w:sz w:val="20"/>
              </w:rPr>
            </w:pPr>
          </w:p>
        </w:tc>
        <w:tc>
          <w:tcPr>
            <w:tcW w:w="2134" w:type="pct"/>
            <w:gridSpan w:val="8"/>
            <w:vAlign w:val="center"/>
          </w:tcPr>
          <w:p>
            <w:pPr>
              <w:rPr>
                <w:rFonts w:ascii="宋体" w:hAnsi="宋体" w:cs="宋体"/>
                <w:bCs/>
                <w:sz w:val="20"/>
              </w:rPr>
            </w:pPr>
            <w:r>
              <w:rPr>
                <w:rFonts w:ascii="宋体" w:hAnsi="宋体" w:cs="宋体"/>
                <w:bCs/>
                <w:sz w:val="20"/>
              </w:rPr>
              <w:t>应制定水池、水箱等储水设施定期清洗消毒计划并实施，且生活饮用水储水设施每半年清洗消毒应不少于1次；</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rPr>
                <w:rFonts w:ascii="宋体" w:hAnsi="宋体" w:cs="宋体"/>
                <w:bCs/>
                <w:sz w:val="20"/>
              </w:rPr>
            </w:pPr>
          </w:p>
        </w:tc>
        <w:tc>
          <w:tcPr>
            <w:tcW w:w="2134" w:type="pct"/>
            <w:gridSpan w:val="8"/>
            <w:vAlign w:val="center"/>
          </w:tcPr>
          <w:p>
            <w:pPr>
              <w:rPr>
                <w:rFonts w:ascii="宋体" w:hAnsi="宋体" w:cs="宋体"/>
                <w:bCs/>
                <w:sz w:val="20"/>
              </w:rPr>
            </w:pPr>
            <w:r>
              <w:rPr>
                <w:rFonts w:ascii="宋体" w:hAnsi="宋体" w:cs="宋体"/>
                <w:bCs/>
                <w:sz w:val="20"/>
              </w:rPr>
              <w:t>应使用构造内自带水封的便器，且其水封深度不应小于50mm；</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rPr>
                <w:rFonts w:ascii="宋体" w:hAnsi="宋体" w:cs="宋体"/>
                <w:bCs/>
                <w:sz w:val="20"/>
              </w:rPr>
            </w:pPr>
          </w:p>
        </w:tc>
        <w:tc>
          <w:tcPr>
            <w:tcW w:w="2134" w:type="pct"/>
            <w:gridSpan w:val="8"/>
            <w:vAlign w:val="center"/>
          </w:tcPr>
          <w:p>
            <w:pPr>
              <w:rPr>
                <w:rFonts w:ascii="宋体" w:hAnsi="宋体" w:cs="宋体"/>
                <w:bCs/>
                <w:sz w:val="20"/>
              </w:rPr>
            </w:pPr>
            <w:r>
              <w:rPr>
                <w:rFonts w:ascii="宋体" w:hAnsi="宋体" w:cs="宋体"/>
                <w:bCs/>
                <w:sz w:val="20"/>
              </w:rPr>
              <w:t>非传统水源管道和设备应设置明确、清晰的永久性标识。</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5.1.4</w:t>
            </w:r>
          </w:p>
        </w:tc>
        <w:tc>
          <w:tcPr>
            <w:tcW w:w="512" w:type="pct"/>
            <w:vMerge w:val="restart"/>
            <w:shd w:val="clear" w:color="auto" w:fill="auto"/>
            <w:vAlign w:val="center"/>
          </w:tcPr>
          <w:p>
            <w:pPr>
              <w:rPr>
                <w:rFonts w:ascii="宋体" w:hAnsi="宋体" w:cs="宋体"/>
                <w:bCs/>
                <w:sz w:val="20"/>
              </w:rPr>
            </w:pPr>
            <w:r>
              <w:rPr>
                <w:rFonts w:ascii="宋体" w:hAnsi="宋体" w:cs="宋体"/>
                <w:bCs/>
                <w:sz w:val="20"/>
              </w:rPr>
              <w:t>主要功能房间的室内噪声级和隔声性能应符合下列规定</w:t>
            </w:r>
          </w:p>
        </w:tc>
        <w:tc>
          <w:tcPr>
            <w:tcW w:w="2134" w:type="pct"/>
            <w:gridSpan w:val="8"/>
            <w:shd w:val="clear" w:color="auto" w:fill="auto"/>
            <w:vAlign w:val="center"/>
          </w:tcPr>
          <w:p>
            <w:pPr>
              <w:rPr>
                <w:rFonts w:ascii="宋体" w:hAnsi="宋体" w:cs="宋体"/>
                <w:bCs/>
                <w:sz w:val="20"/>
              </w:rPr>
            </w:pPr>
            <w:r>
              <w:rPr>
                <w:rFonts w:ascii="宋体" w:hAnsi="宋体" w:cs="宋体"/>
                <w:bCs/>
                <w:sz w:val="20"/>
              </w:rPr>
              <w:t>室内噪声级应满足现行国家标准《民用建筑隔声设计规范》GB 50118中的低限要求；</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rPr>
                <w:rFonts w:ascii="宋体" w:hAnsi="宋体" w:cs="宋体"/>
                <w:bCs/>
                <w:sz w:val="20"/>
              </w:rPr>
            </w:pPr>
          </w:p>
        </w:tc>
        <w:tc>
          <w:tcPr>
            <w:tcW w:w="2134" w:type="pct"/>
            <w:gridSpan w:val="8"/>
            <w:vAlign w:val="center"/>
          </w:tcPr>
          <w:p>
            <w:pPr>
              <w:rPr>
                <w:rFonts w:ascii="宋体" w:hAnsi="宋体" w:cs="宋体"/>
                <w:bCs/>
                <w:sz w:val="20"/>
              </w:rPr>
            </w:pPr>
            <w:r>
              <w:rPr>
                <w:rFonts w:ascii="宋体" w:hAnsi="宋体" w:cs="宋体"/>
                <w:bCs/>
                <w:sz w:val="20"/>
              </w:rPr>
              <w:t>外墙、隔墙、楼板和门窗的隔声性能应满足现行国家标准《民用建筑隔声设计规范》GB50118中的低限要求。</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5.1.5</w:t>
            </w:r>
          </w:p>
        </w:tc>
        <w:tc>
          <w:tcPr>
            <w:tcW w:w="512" w:type="pct"/>
            <w:vMerge w:val="restart"/>
            <w:shd w:val="clear" w:color="auto" w:fill="auto"/>
            <w:vAlign w:val="center"/>
          </w:tcPr>
          <w:p>
            <w:pPr>
              <w:rPr>
                <w:rFonts w:ascii="宋体" w:hAnsi="宋体" w:cs="宋体"/>
                <w:bCs/>
                <w:sz w:val="20"/>
              </w:rPr>
            </w:pPr>
            <w:r>
              <w:rPr>
                <w:rFonts w:ascii="宋体" w:hAnsi="宋体" w:cs="宋体"/>
                <w:bCs/>
                <w:sz w:val="20"/>
              </w:rPr>
              <w:t>建筑照明应符合下列规定：</w:t>
            </w:r>
          </w:p>
        </w:tc>
        <w:tc>
          <w:tcPr>
            <w:tcW w:w="2134" w:type="pct"/>
            <w:gridSpan w:val="8"/>
            <w:shd w:val="clear" w:color="auto" w:fill="auto"/>
            <w:vAlign w:val="center"/>
          </w:tcPr>
          <w:p>
            <w:pPr>
              <w:rPr>
                <w:rFonts w:ascii="宋体" w:hAnsi="宋体" w:cs="宋体"/>
                <w:bCs/>
                <w:sz w:val="20"/>
              </w:rPr>
            </w:pPr>
            <w:r>
              <w:rPr>
                <w:rFonts w:ascii="宋体" w:hAnsi="宋体" w:cs="宋体"/>
                <w:bCs/>
                <w:sz w:val="20"/>
              </w:rPr>
              <w:t>照明数量和质量应符合现行国家标准《建筑照明设计标准》GB 50034的规定；</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rPr>
                <w:rFonts w:ascii="宋体" w:hAnsi="宋体" w:cs="宋体"/>
                <w:bCs/>
                <w:sz w:val="20"/>
              </w:rPr>
            </w:pPr>
          </w:p>
        </w:tc>
        <w:tc>
          <w:tcPr>
            <w:tcW w:w="2134" w:type="pct"/>
            <w:gridSpan w:val="8"/>
            <w:vAlign w:val="center"/>
          </w:tcPr>
          <w:p>
            <w:pPr>
              <w:rPr>
                <w:rFonts w:ascii="宋体" w:hAnsi="宋体" w:cs="宋体"/>
                <w:bCs/>
                <w:sz w:val="20"/>
              </w:rPr>
            </w:pPr>
            <w:r>
              <w:rPr>
                <w:rFonts w:ascii="宋体" w:hAnsi="宋体" w:cs="宋体"/>
                <w:bCs/>
                <w:sz w:val="20"/>
              </w:rPr>
              <w:t>人员长期停留的场所应采用符合现行国家标准《灯和灯系统的光生物安全性》GB/T 20145规定的无危险类照明产品；</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rPr>
                <w:rFonts w:ascii="宋体" w:hAnsi="宋体" w:cs="宋体"/>
                <w:bCs/>
                <w:sz w:val="20"/>
              </w:rPr>
            </w:pPr>
          </w:p>
        </w:tc>
        <w:tc>
          <w:tcPr>
            <w:tcW w:w="2134" w:type="pct"/>
            <w:gridSpan w:val="8"/>
            <w:vAlign w:val="center"/>
          </w:tcPr>
          <w:p>
            <w:pPr>
              <w:rPr>
                <w:rFonts w:ascii="宋体" w:hAnsi="宋体" w:cs="宋体"/>
                <w:bCs/>
                <w:sz w:val="20"/>
              </w:rPr>
            </w:pPr>
            <w:r>
              <w:rPr>
                <w:rFonts w:ascii="宋体" w:hAnsi="宋体" w:cs="宋体"/>
                <w:bCs/>
                <w:sz w:val="20"/>
              </w:rPr>
              <w:t>选用LED照明产品的光输出波形的波动深度应满足现行国家标准《LED室内照明应用技术要求》GB/T 31831的规定。</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5.1.6</w:t>
            </w:r>
          </w:p>
        </w:tc>
        <w:tc>
          <w:tcPr>
            <w:tcW w:w="2646" w:type="pct"/>
            <w:gridSpan w:val="9"/>
            <w:shd w:val="clear" w:color="auto" w:fill="auto"/>
            <w:vAlign w:val="center"/>
          </w:tcPr>
          <w:p>
            <w:pPr>
              <w:rPr>
                <w:rFonts w:ascii="宋体" w:hAnsi="宋体" w:cs="宋体"/>
                <w:bCs/>
                <w:sz w:val="20"/>
              </w:rPr>
            </w:pPr>
            <w:r>
              <w:rPr>
                <w:rFonts w:ascii="宋体" w:hAnsi="宋体" w:cs="宋体"/>
                <w:bCs/>
                <w:sz w:val="20"/>
              </w:rPr>
              <w:t>应采取措施保障室内热环境。采用集中供暖空调系统的建筑，房间内的温度、湿度、新风量等设计参数应符合现行国家标准《民用建筑供暖通风与空气调节设计规范》GB 50736的有关规定；采用非集中供暖空调系统的建筑，应具有保障室内热环境的措施或预留条件。</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5.1.7</w:t>
            </w:r>
          </w:p>
        </w:tc>
        <w:tc>
          <w:tcPr>
            <w:tcW w:w="512" w:type="pct"/>
            <w:vMerge w:val="restart"/>
            <w:shd w:val="clear" w:color="auto" w:fill="auto"/>
            <w:vAlign w:val="center"/>
          </w:tcPr>
          <w:p>
            <w:pPr>
              <w:rPr>
                <w:rFonts w:ascii="宋体" w:hAnsi="宋体" w:cs="宋体"/>
                <w:bCs/>
                <w:sz w:val="20"/>
              </w:rPr>
            </w:pPr>
            <w:r>
              <w:rPr>
                <w:rFonts w:ascii="宋体" w:hAnsi="宋体" w:cs="宋体"/>
                <w:bCs/>
                <w:sz w:val="20"/>
              </w:rPr>
              <w:t>围护结构热工性能应符合下列规定：</w:t>
            </w:r>
          </w:p>
        </w:tc>
        <w:tc>
          <w:tcPr>
            <w:tcW w:w="2134" w:type="pct"/>
            <w:gridSpan w:val="8"/>
            <w:shd w:val="clear" w:color="auto" w:fill="auto"/>
            <w:vAlign w:val="center"/>
          </w:tcPr>
          <w:p>
            <w:pPr>
              <w:rPr>
                <w:rFonts w:ascii="宋体" w:hAnsi="宋体" w:cs="宋体"/>
                <w:bCs/>
                <w:sz w:val="20"/>
              </w:rPr>
            </w:pPr>
            <w:r>
              <w:rPr>
                <w:rFonts w:ascii="宋体" w:hAnsi="宋体" w:cs="宋体"/>
                <w:bCs/>
                <w:sz w:val="20"/>
              </w:rPr>
              <w:t>在室内设计温度、湿度条件下，建筑非透光围护结构内表面不得结露；</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rPr>
                <w:rFonts w:ascii="宋体" w:hAnsi="宋体" w:cs="宋体"/>
                <w:bCs/>
                <w:sz w:val="20"/>
              </w:rPr>
            </w:pPr>
          </w:p>
        </w:tc>
        <w:tc>
          <w:tcPr>
            <w:tcW w:w="2134" w:type="pct"/>
            <w:gridSpan w:val="8"/>
            <w:vAlign w:val="center"/>
          </w:tcPr>
          <w:p>
            <w:pPr>
              <w:rPr>
                <w:rFonts w:ascii="宋体" w:hAnsi="宋体" w:cs="宋体"/>
                <w:bCs/>
                <w:sz w:val="20"/>
              </w:rPr>
            </w:pPr>
            <w:r>
              <w:rPr>
                <w:rFonts w:ascii="宋体" w:hAnsi="宋体" w:cs="宋体"/>
                <w:bCs/>
                <w:sz w:val="20"/>
              </w:rPr>
              <w:t>供暖建筑的屋面、外墙内部不应产生冷凝；</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rPr>
                <w:rFonts w:ascii="宋体" w:hAnsi="宋体" w:cs="宋体"/>
                <w:bCs/>
                <w:sz w:val="20"/>
              </w:rPr>
            </w:pPr>
          </w:p>
        </w:tc>
        <w:tc>
          <w:tcPr>
            <w:tcW w:w="2134" w:type="pct"/>
            <w:gridSpan w:val="8"/>
            <w:vAlign w:val="center"/>
          </w:tcPr>
          <w:p>
            <w:pPr>
              <w:rPr>
                <w:rFonts w:ascii="宋体" w:hAnsi="宋体" w:cs="宋体"/>
                <w:bCs/>
                <w:sz w:val="20"/>
              </w:rPr>
            </w:pPr>
            <w:r>
              <w:rPr>
                <w:rFonts w:ascii="宋体" w:hAnsi="宋体" w:cs="宋体"/>
                <w:bCs/>
                <w:sz w:val="20"/>
              </w:rPr>
              <w:t>屋顶和外墙隔热性能应满足现行国家标准《民用建筑热工设计规范》GB 50176的要求。</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5.1.8</w:t>
            </w:r>
          </w:p>
        </w:tc>
        <w:tc>
          <w:tcPr>
            <w:tcW w:w="2646" w:type="pct"/>
            <w:gridSpan w:val="9"/>
            <w:shd w:val="clear" w:color="auto" w:fill="auto"/>
            <w:vAlign w:val="center"/>
          </w:tcPr>
          <w:p>
            <w:pPr>
              <w:rPr>
                <w:rFonts w:ascii="宋体" w:hAnsi="宋体" w:cs="宋体"/>
                <w:bCs/>
                <w:sz w:val="20"/>
              </w:rPr>
            </w:pPr>
            <w:r>
              <w:rPr>
                <w:rFonts w:ascii="宋体" w:hAnsi="宋体" w:cs="宋体"/>
                <w:bCs/>
                <w:sz w:val="20"/>
              </w:rPr>
              <w:t>主要功能房间应具有现场独立控制的热环境调节装置。</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5.1.9</w:t>
            </w:r>
          </w:p>
        </w:tc>
        <w:tc>
          <w:tcPr>
            <w:tcW w:w="2646" w:type="pct"/>
            <w:gridSpan w:val="9"/>
            <w:shd w:val="clear" w:color="auto" w:fill="auto"/>
            <w:vAlign w:val="center"/>
          </w:tcPr>
          <w:p>
            <w:pPr>
              <w:rPr>
                <w:rFonts w:ascii="宋体" w:hAnsi="宋体" w:cs="宋体"/>
                <w:bCs/>
                <w:sz w:val="20"/>
              </w:rPr>
            </w:pPr>
            <w:r>
              <w:rPr>
                <w:rFonts w:ascii="宋体" w:hAnsi="宋体" w:cs="宋体"/>
                <w:bCs/>
                <w:sz w:val="20"/>
              </w:rPr>
              <w:t>地下车库应设置与排风设备联动的一氧化碳浓度监测装置。</w:t>
            </w:r>
          </w:p>
        </w:tc>
        <w:tc>
          <w:tcPr>
            <w:tcW w:w="766" w:type="pct"/>
            <w:gridSpan w:val="2"/>
            <w:vAlign w:val="center"/>
          </w:tcPr>
          <w:p>
            <w:pPr>
              <w:widowControl/>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5.2.1</w:t>
            </w:r>
          </w:p>
        </w:tc>
        <w:tc>
          <w:tcPr>
            <w:tcW w:w="512" w:type="pct"/>
            <w:vMerge w:val="restart"/>
            <w:shd w:val="clear" w:color="auto" w:fill="auto"/>
            <w:vAlign w:val="center"/>
          </w:tcPr>
          <w:p>
            <w:pPr>
              <w:rPr>
                <w:rFonts w:ascii="宋体" w:hAnsi="宋体" w:cs="宋体"/>
                <w:bCs/>
                <w:sz w:val="20"/>
              </w:rPr>
            </w:pPr>
            <w:r>
              <w:rPr>
                <w:rFonts w:ascii="宋体" w:hAnsi="宋体" w:cs="宋体"/>
                <w:bCs/>
                <w:sz w:val="20"/>
              </w:rPr>
              <w:t>控制室内主要空气污染物的浓度。</w:t>
            </w:r>
          </w:p>
        </w:tc>
        <w:tc>
          <w:tcPr>
            <w:tcW w:w="2134" w:type="pct"/>
            <w:gridSpan w:val="8"/>
            <w:shd w:val="clear" w:color="auto" w:fill="auto"/>
            <w:vAlign w:val="center"/>
          </w:tcPr>
          <w:p>
            <w:pPr>
              <w:rPr>
                <w:rFonts w:ascii="宋体" w:hAnsi="宋体" w:cs="宋体"/>
                <w:bCs/>
                <w:sz w:val="20"/>
              </w:rPr>
            </w:pPr>
            <w:r>
              <w:rPr>
                <w:rFonts w:ascii="宋体" w:hAnsi="宋体" w:cs="宋体"/>
                <w:bCs/>
                <w:sz w:val="20"/>
              </w:rPr>
              <w:t>氨、甲醛、苯、总挥发性有机物、氡等污染物浓度低于现行国家标准《室内空气质量标准》GB/T 18883规定限值10%，得3分；低于20%，得6分。</w:t>
            </w:r>
          </w:p>
        </w:tc>
        <w:tc>
          <w:tcPr>
            <w:tcW w:w="391" w:type="pct"/>
            <w:vAlign w:val="center"/>
          </w:tcPr>
          <w:p>
            <w:pPr>
              <w:widowControl/>
              <w:jc w:val="center"/>
              <w:rPr>
                <w:rFonts w:ascii="宋体" w:hAnsi="宋体" w:cs="宋体"/>
                <w:b/>
                <w:bCs/>
                <w:sz w:val="20"/>
              </w:rPr>
            </w:pPr>
            <w:r>
              <w:rPr>
                <w:rFonts w:ascii="宋体" w:hAnsi="宋体" w:cs="宋体"/>
                <w:b/>
                <w:bCs/>
                <w:sz w:val="20"/>
              </w:rPr>
              <w:t>6</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12</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rPr>
                <w:rFonts w:ascii="宋体" w:hAnsi="宋体" w:cs="宋体"/>
                <w:bCs/>
                <w:sz w:val="20"/>
              </w:rPr>
            </w:pPr>
          </w:p>
        </w:tc>
        <w:tc>
          <w:tcPr>
            <w:tcW w:w="2134" w:type="pct"/>
            <w:gridSpan w:val="8"/>
            <w:vAlign w:val="center"/>
          </w:tcPr>
          <w:p>
            <w:pPr>
              <w:rPr>
                <w:rFonts w:ascii="宋体" w:hAnsi="宋体" w:cs="宋体"/>
                <w:bCs/>
                <w:sz w:val="20"/>
              </w:rPr>
            </w:pPr>
            <w:r>
              <w:rPr>
                <w:rFonts w:ascii="宋体" w:hAnsi="宋体" w:cs="宋体"/>
                <w:bCs/>
                <w:sz w:val="20"/>
              </w:rPr>
              <w:t>室内PM</w:t>
            </w:r>
            <w:r>
              <w:rPr>
                <w:rFonts w:ascii="宋体" w:hAnsi="宋体" w:cs="宋体"/>
                <w:bCs/>
                <w:sz w:val="20"/>
                <w:vertAlign w:val="subscript"/>
              </w:rPr>
              <w:t>2.5</w:t>
            </w:r>
            <w:r>
              <w:rPr>
                <w:rFonts w:ascii="宋体" w:hAnsi="宋体" w:cs="宋体"/>
                <w:bCs/>
                <w:sz w:val="20"/>
              </w:rPr>
              <w:t>年均浓度不高于25ug/m</w:t>
            </w:r>
            <w:r>
              <w:rPr>
                <w:rFonts w:ascii="宋体" w:hAnsi="宋体" w:cs="宋体"/>
                <w:bCs/>
                <w:sz w:val="20"/>
                <w:vertAlign w:val="superscript"/>
              </w:rPr>
              <w:t>3</w:t>
            </w:r>
            <w:r>
              <w:rPr>
                <w:rFonts w:ascii="宋体" w:hAnsi="宋体" w:cs="宋体"/>
                <w:bCs/>
                <w:sz w:val="20"/>
              </w:rPr>
              <w:t>，且室内PM</w:t>
            </w:r>
            <w:r>
              <w:rPr>
                <w:rFonts w:ascii="宋体" w:hAnsi="宋体" w:cs="宋体"/>
                <w:bCs/>
                <w:sz w:val="20"/>
                <w:vertAlign w:val="subscript"/>
              </w:rPr>
              <w:t>10</w:t>
            </w:r>
            <w:r>
              <w:rPr>
                <w:rFonts w:ascii="宋体" w:hAnsi="宋体" w:cs="宋体"/>
                <w:bCs/>
                <w:sz w:val="20"/>
              </w:rPr>
              <w:t>年均浓度不高于50ug/m</w:t>
            </w:r>
            <w:r>
              <w:rPr>
                <w:rFonts w:ascii="宋体" w:hAnsi="宋体" w:cs="宋体"/>
                <w:bCs/>
                <w:sz w:val="20"/>
                <w:vertAlign w:val="superscript"/>
              </w:rPr>
              <w:t>3</w:t>
            </w:r>
            <w:r>
              <w:rPr>
                <w:rFonts w:ascii="宋体" w:hAnsi="宋体" w:cs="宋体"/>
                <w:bCs/>
                <w:sz w:val="20"/>
              </w:rPr>
              <w:t>。</w:t>
            </w:r>
          </w:p>
        </w:tc>
        <w:tc>
          <w:tcPr>
            <w:tcW w:w="391" w:type="pct"/>
            <w:vAlign w:val="center"/>
          </w:tcPr>
          <w:p>
            <w:pPr>
              <w:widowControl/>
              <w:jc w:val="center"/>
              <w:rPr>
                <w:rFonts w:ascii="宋体" w:hAnsi="宋体" w:cs="宋体"/>
                <w:b/>
                <w:bCs/>
                <w:sz w:val="20"/>
              </w:rPr>
            </w:pPr>
            <w:r>
              <w:rPr>
                <w:rFonts w:ascii="宋体" w:hAnsi="宋体" w:cs="宋体"/>
                <w:b/>
                <w:bCs/>
                <w:sz w:val="20"/>
              </w:rPr>
              <w:t>6</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5.2.2</w:t>
            </w:r>
          </w:p>
        </w:tc>
        <w:tc>
          <w:tcPr>
            <w:tcW w:w="2646" w:type="pct"/>
            <w:gridSpan w:val="9"/>
            <w:shd w:val="clear" w:color="auto" w:fill="auto"/>
            <w:vAlign w:val="center"/>
          </w:tcPr>
          <w:p>
            <w:pPr>
              <w:rPr>
                <w:rFonts w:ascii="宋体" w:hAnsi="宋体" w:cs="宋体"/>
                <w:b/>
                <w:bCs/>
                <w:sz w:val="20"/>
              </w:rPr>
            </w:pPr>
            <w:r>
              <w:rPr>
                <w:rFonts w:ascii="宋体" w:hAnsi="宋体" w:cs="宋体"/>
                <w:bCs/>
                <w:sz w:val="20"/>
              </w:rPr>
              <w:t>选用的装饰装修材料满足国家现行绿色产品评价标准中对有害物质限量的要求。</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Align w:val="center"/>
          </w:tcPr>
          <w:p>
            <w:pPr>
              <w:widowControl/>
              <w:jc w:val="center"/>
              <w:rPr>
                <w:rFonts w:ascii="宋体" w:hAnsi="宋体" w:cs="宋体"/>
                <w:b/>
                <w:bCs/>
                <w:sz w:val="20"/>
              </w:rPr>
            </w:pPr>
            <w:r>
              <w:rPr>
                <w:rFonts w:ascii="宋体" w:hAnsi="宋体" w:cs="宋体"/>
                <w:b/>
                <w:bCs/>
                <w:sz w:val="20"/>
              </w:rPr>
              <w:t>8</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5.2.3</w:t>
            </w:r>
          </w:p>
        </w:tc>
        <w:tc>
          <w:tcPr>
            <w:tcW w:w="512" w:type="pct"/>
            <w:vMerge w:val="restart"/>
            <w:shd w:val="clear" w:color="auto" w:fill="auto"/>
            <w:vAlign w:val="center"/>
          </w:tcPr>
          <w:p>
            <w:pPr>
              <w:rPr>
                <w:rFonts w:ascii="宋体" w:hAnsi="宋体" w:cs="宋体"/>
                <w:bCs/>
                <w:sz w:val="20"/>
              </w:rPr>
            </w:pPr>
            <w:r>
              <w:rPr>
                <w:rFonts w:ascii="宋体" w:hAnsi="宋体" w:cs="宋体"/>
                <w:bCs/>
                <w:sz w:val="20"/>
              </w:rPr>
              <w:t>水质满足国标要求</w:t>
            </w:r>
          </w:p>
        </w:tc>
        <w:tc>
          <w:tcPr>
            <w:tcW w:w="2134" w:type="pct"/>
            <w:gridSpan w:val="8"/>
            <w:shd w:val="clear" w:color="auto" w:fill="auto"/>
            <w:vAlign w:val="center"/>
          </w:tcPr>
          <w:p>
            <w:pPr>
              <w:rPr>
                <w:rFonts w:ascii="宋体" w:hAnsi="宋体" w:cs="宋体"/>
                <w:bCs/>
                <w:sz w:val="20"/>
              </w:rPr>
            </w:pPr>
            <w:r>
              <w:rPr>
                <w:rFonts w:ascii="宋体" w:hAnsi="宋体" w:cs="宋体"/>
                <w:bCs/>
                <w:sz w:val="20"/>
              </w:rPr>
              <w:t>水质满足国家现行有关标准的要求。</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8</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rPr>
                <w:rFonts w:ascii="宋体" w:hAnsi="宋体" w:cs="宋体"/>
                <w:bCs/>
                <w:sz w:val="20"/>
              </w:rPr>
            </w:pPr>
          </w:p>
        </w:tc>
        <w:tc>
          <w:tcPr>
            <w:tcW w:w="2134" w:type="pct"/>
            <w:gridSpan w:val="8"/>
            <w:vAlign w:val="center"/>
          </w:tcPr>
          <w:p>
            <w:pPr>
              <w:rPr>
                <w:rFonts w:ascii="宋体" w:hAnsi="宋体" w:cs="宋体"/>
                <w:bCs/>
                <w:sz w:val="20"/>
              </w:rPr>
            </w:pPr>
            <w:r>
              <w:rPr>
                <w:rFonts w:ascii="宋体" w:hAnsi="宋体" w:cs="宋体"/>
                <w:bCs/>
                <w:sz w:val="20"/>
              </w:rPr>
              <w:t>除生活饮用水供水系统，未设置其他供水系统时，直接得分。</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5.2.4</w:t>
            </w:r>
          </w:p>
        </w:tc>
        <w:tc>
          <w:tcPr>
            <w:tcW w:w="512" w:type="pct"/>
            <w:vMerge w:val="restart"/>
            <w:shd w:val="clear" w:color="auto" w:fill="auto"/>
            <w:vAlign w:val="center"/>
          </w:tcPr>
          <w:p>
            <w:pPr>
              <w:rPr>
                <w:rFonts w:ascii="宋体" w:hAnsi="宋体" w:cs="宋体"/>
                <w:bCs/>
                <w:sz w:val="20"/>
              </w:rPr>
            </w:pPr>
            <w:r>
              <w:rPr>
                <w:rFonts w:ascii="宋体" w:hAnsi="宋体" w:cs="宋体"/>
                <w:bCs/>
                <w:sz w:val="20"/>
              </w:rPr>
              <w:t>储水设施采取措施满足卫生要求</w:t>
            </w:r>
          </w:p>
        </w:tc>
        <w:tc>
          <w:tcPr>
            <w:tcW w:w="2134" w:type="pct"/>
            <w:gridSpan w:val="8"/>
            <w:shd w:val="clear" w:color="auto" w:fill="auto"/>
            <w:vAlign w:val="center"/>
          </w:tcPr>
          <w:p>
            <w:pPr>
              <w:rPr>
                <w:rFonts w:ascii="宋体" w:hAnsi="宋体" w:cs="宋体"/>
                <w:bCs/>
                <w:sz w:val="20"/>
              </w:rPr>
            </w:pPr>
            <w:r>
              <w:rPr>
                <w:rFonts w:ascii="宋体" w:hAnsi="宋体" w:cs="宋体"/>
                <w:bCs/>
                <w:sz w:val="20"/>
              </w:rPr>
              <w:t>使用符合国家现行标准要求的成品水箱。</w:t>
            </w:r>
          </w:p>
        </w:tc>
        <w:tc>
          <w:tcPr>
            <w:tcW w:w="391" w:type="pct"/>
            <w:vAlign w:val="center"/>
          </w:tcPr>
          <w:p>
            <w:pPr>
              <w:widowControl/>
              <w:jc w:val="center"/>
              <w:rPr>
                <w:rFonts w:ascii="宋体" w:hAnsi="宋体" w:cs="宋体"/>
                <w:b/>
                <w:bCs/>
                <w:sz w:val="20"/>
              </w:rPr>
            </w:pPr>
            <w:r>
              <w:rPr>
                <w:rFonts w:ascii="宋体" w:hAnsi="宋体" w:cs="宋体"/>
                <w:b/>
                <w:bCs/>
                <w:sz w:val="20"/>
              </w:rPr>
              <w:t>4</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9</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rPr>
                <w:rFonts w:ascii="宋体" w:hAnsi="宋体" w:cs="宋体"/>
                <w:bCs/>
                <w:sz w:val="20"/>
              </w:rPr>
            </w:pPr>
            <w:r>
              <w:rPr>
                <w:rFonts w:ascii="宋体" w:hAnsi="宋体" w:cs="宋体"/>
                <w:bCs/>
                <w:sz w:val="20"/>
              </w:rPr>
              <w:t>采取保证储水不变质的措施。</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continue"/>
            <w:vAlign w:val="center"/>
          </w:tcPr>
          <w:p>
            <w:pPr>
              <w:widowControl/>
              <w:jc w:val="center"/>
              <w:rPr>
                <w:rFonts w:ascii="宋体" w:hAnsi="宋体" w:cs="宋体"/>
                <w:b/>
                <w:bCs/>
                <w:sz w:val="20"/>
              </w:rPr>
            </w:pP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rPr>
                <w:rFonts w:ascii="宋体" w:hAnsi="宋体" w:cs="宋体"/>
                <w:bCs/>
                <w:sz w:val="20"/>
              </w:rPr>
            </w:pPr>
            <w:r>
              <w:rPr>
                <w:rFonts w:ascii="宋体" w:hAnsi="宋体" w:cs="宋体"/>
                <w:bCs/>
                <w:sz w:val="20"/>
              </w:rPr>
              <w:t>未设置生活饮用水储水设施直接得分。</w:t>
            </w:r>
          </w:p>
        </w:tc>
        <w:tc>
          <w:tcPr>
            <w:tcW w:w="391" w:type="pct"/>
            <w:vAlign w:val="center"/>
          </w:tcPr>
          <w:p>
            <w:pPr>
              <w:widowControl/>
              <w:jc w:val="center"/>
              <w:rPr>
                <w:rFonts w:ascii="宋体" w:hAnsi="宋体" w:cs="宋体"/>
                <w:b/>
                <w:bCs/>
                <w:sz w:val="20"/>
              </w:rPr>
            </w:pPr>
            <w:r>
              <w:rPr>
                <w:rFonts w:ascii="宋体" w:hAnsi="宋体" w:cs="宋体"/>
                <w:b/>
                <w:bCs/>
                <w:sz w:val="20"/>
              </w:rPr>
              <w:t>9</w:t>
            </w:r>
          </w:p>
        </w:tc>
        <w:tc>
          <w:tcPr>
            <w:tcW w:w="375" w:type="pct"/>
            <w:vMerge w:val="continue"/>
            <w:vAlign w:val="center"/>
          </w:tcPr>
          <w:p>
            <w:pPr>
              <w:widowControl/>
              <w:jc w:val="center"/>
              <w:rPr>
                <w:rFonts w:ascii="宋体" w:hAnsi="宋体" w:cs="宋体"/>
                <w:b/>
                <w:bCs/>
                <w:sz w:val="20"/>
              </w:rPr>
            </w:pP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5.2.5</w:t>
            </w:r>
          </w:p>
        </w:tc>
        <w:tc>
          <w:tcPr>
            <w:tcW w:w="2646" w:type="pct"/>
            <w:gridSpan w:val="9"/>
            <w:shd w:val="clear" w:color="auto" w:fill="auto"/>
            <w:vAlign w:val="center"/>
          </w:tcPr>
          <w:p>
            <w:pPr>
              <w:rPr>
                <w:rFonts w:ascii="宋体" w:hAnsi="宋体" w:cs="宋体"/>
                <w:bCs/>
                <w:sz w:val="20"/>
              </w:rPr>
            </w:pPr>
            <w:r>
              <w:rPr>
                <w:rFonts w:ascii="宋体" w:hAnsi="宋体" w:cs="宋体"/>
                <w:bCs/>
                <w:sz w:val="20"/>
              </w:rPr>
              <w:t>所有给排水管道、设备、设施设置明确、清晰的永久性标识。</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Align w:val="center"/>
          </w:tcPr>
          <w:p>
            <w:pPr>
              <w:widowControl/>
              <w:jc w:val="center"/>
              <w:rPr>
                <w:rFonts w:ascii="宋体" w:hAnsi="宋体" w:cs="宋体"/>
                <w:b/>
                <w:bCs/>
                <w:sz w:val="20"/>
              </w:rPr>
            </w:pPr>
            <w:r>
              <w:rPr>
                <w:rFonts w:ascii="宋体" w:hAnsi="宋体" w:cs="宋体"/>
                <w:b/>
                <w:bCs/>
                <w:sz w:val="20"/>
              </w:rPr>
              <w:t>8</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5.2.6</w:t>
            </w:r>
          </w:p>
        </w:tc>
        <w:tc>
          <w:tcPr>
            <w:tcW w:w="2646" w:type="pct"/>
            <w:gridSpan w:val="9"/>
            <w:shd w:val="clear" w:color="auto" w:fill="auto"/>
            <w:vAlign w:val="center"/>
          </w:tcPr>
          <w:p>
            <w:pPr>
              <w:rPr>
                <w:rFonts w:ascii="宋体" w:hAnsi="宋体" w:cs="宋体"/>
                <w:bCs/>
                <w:sz w:val="20"/>
              </w:rPr>
            </w:pPr>
            <w:r>
              <w:rPr>
                <w:rFonts w:ascii="宋体" w:hAnsi="宋体" w:cs="宋体"/>
                <w:bCs/>
                <w:sz w:val="20"/>
              </w:rPr>
              <w:t>采取措施优化主要功能房间的室内声环境，噪声级达到现行国家标准《民用建筑隔声设计规范》GB 50118中的低限标准限值和高要求标准限值的平均值，得4分；达到高要求标准限值8分。</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Align w:val="center"/>
          </w:tcPr>
          <w:p>
            <w:pPr>
              <w:widowControl/>
              <w:jc w:val="center"/>
              <w:rPr>
                <w:rFonts w:ascii="宋体" w:hAnsi="宋体" w:cs="宋体"/>
                <w:b/>
                <w:bCs/>
                <w:sz w:val="20"/>
              </w:rPr>
            </w:pPr>
            <w:r>
              <w:rPr>
                <w:rFonts w:ascii="宋体" w:hAnsi="宋体" w:cs="宋体"/>
                <w:b/>
                <w:bCs/>
                <w:sz w:val="20"/>
              </w:rPr>
              <w:t>8</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5.2.7</w:t>
            </w:r>
          </w:p>
        </w:tc>
        <w:tc>
          <w:tcPr>
            <w:tcW w:w="512" w:type="pct"/>
            <w:vMerge w:val="restart"/>
            <w:shd w:val="clear" w:color="auto" w:fill="auto"/>
            <w:vAlign w:val="center"/>
          </w:tcPr>
          <w:p>
            <w:pPr>
              <w:widowControl/>
              <w:rPr>
                <w:rFonts w:ascii="宋体" w:hAnsi="宋体" w:cs="宋体"/>
                <w:b/>
                <w:bCs/>
                <w:sz w:val="20"/>
              </w:rPr>
            </w:pPr>
            <w:r>
              <w:rPr>
                <w:rFonts w:ascii="宋体" w:hAnsi="宋体" w:cs="宋体"/>
                <w:sz w:val="20"/>
              </w:rPr>
              <w:t>主要功能房间的隔声性能良好。</w:t>
            </w:r>
          </w:p>
        </w:tc>
        <w:tc>
          <w:tcPr>
            <w:tcW w:w="2134" w:type="pct"/>
            <w:gridSpan w:val="8"/>
            <w:shd w:val="clear" w:color="auto" w:fill="auto"/>
            <w:vAlign w:val="center"/>
          </w:tcPr>
          <w:p>
            <w:pPr>
              <w:rPr>
                <w:rFonts w:ascii="宋体" w:hAnsi="宋体" w:cs="宋体"/>
                <w:bCs/>
                <w:sz w:val="20"/>
              </w:rPr>
            </w:pPr>
            <w:r>
              <w:rPr>
                <w:rFonts w:ascii="宋体" w:hAnsi="宋体" w:cs="宋体"/>
                <w:bCs/>
                <w:sz w:val="20"/>
              </w:rPr>
              <w:t>构件及相邻房间之间的空气声隔声性能：高于低限标准限值和高要求标准限值的平均值，得3分；高要求标准限值，得5分。</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10</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rPr>
                <w:rFonts w:ascii="宋体" w:hAnsi="宋体" w:cs="宋体"/>
                <w:bCs/>
                <w:sz w:val="20"/>
              </w:rPr>
            </w:pPr>
            <w:r>
              <w:rPr>
                <w:rFonts w:ascii="宋体" w:hAnsi="宋体" w:cs="宋体"/>
                <w:bCs/>
                <w:sz w:val="20"/>
              </w:rPr>
              <w:t>楼板的撞击声隔声性能：高于低限标准限值和高要求标准限值的平均值，得3分；高要求标准限值，得5分。</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5.2.8</w:t>
            </w:r>
          </w:p>
        </w:tc>
        <w:tc>
          <w:tcPr>
            <w:tcW w:w="512" w:type="pct"/>
            <w:vMerge w:val="restart"/>
            <w:shd w:val="clear" w:color="auto" w:fill="auto"/>
            <w:vAlign w:val="center"/>
          </w:tcPr>
          <w:p>
            <w:pPr>
              <w:rPr>
                <w:rFonts w:ascii="宋体" w:hAnsi="宋体" w:cs="宋体"/>
                <w:bCs/>
                <w:sz w:val="20"/>
              </w:rPr>
            </w:pPr>
            <w:r>
              <w:rPr>
                <w:rFonts w:ascii="宋体" w:hAnsi="宋体" w:cs="宋体"/>
                <w:bCs/>
                <w:sz w:val="20"/>
              </w:rPr>
              <w:t>充分利用天然光</w:t>
            </w:r>
          </w:p>
        </w:tc>
        <w:tc>
          <w:tcPr>
            <w:tcW w:w="327" w:type="pct"/>
            <w:gridSpan w:val="4"/>
            <w:shd w:val="clear" w:color="auto" w:fill="auto"/>
            <w:vAlign w:val="center"/>
          </w:tcPr>
          <w:p>
            <w:pPr>
              <w:jc w:val="center"/>
              <w:rPr>
                <w:rFonts w:ascii="宋体" w:hAnsi="宋体" w:cs="宋体"/>
                <w:bCs/>
                <w:sz w:val="20"/>
              </w:rPr>
            </w:pPr>
            <w:r>
              <w:rPr>
                <w:rFonts w:ascii="宋体" w:hAnsi="宋体" w:cs="宋体"/>
                <w:bCs/>
                <w:sz w:val="20"/>
              </w:rPr>
              <w:t>住宅建筑</w:t>
            </w:r>
          </w:p>
        </w:tc>
        <w:tc>
          <w:tcPr>
            <w:tcW w:w="1807" w:type="pct"/>
            <w:gridSpan w:val="4"/>
            <w:shd w:val="clear" w:color="auto" w:fill="auto"/>
            <w:vAlign w:val="center"/>
          </w:tcPr>
          <w:p>
            <w:pPr>
              <w:rPr>
                <w:rFonts w:ascii="宋体" w:hAnsi="宋体" w:cs="宋体"/>
                <w:bCs/>
                <w:sz w:val="20"/>
              </w:rPr>
            </w:pPr>
            <w:r>
              <w:rPr>
                <w:rFonts w:ascii="宋体" w:hAnsi="宋体" w:cs="宋体"/>
                <w:bCs/>
                <w:sz w:val="20"/>
              </w:rPr>
              <w:t>主要功能空间至少60%面积比例区域采光照度值不低于300lx的小时数平均不少于8h/d。</w:t>
            </w:r>
          </w:p>
        </w:tc>
        <w:tc>
          <w:tcPr>
            <w:tcW w:w="391" w:type="pct"/>
            <w:vAlign w:val="center"/>
          </w:tcPr>
          <w:p>
            <w:pPr>
              <w:widowControl/>
              <w:jc w:val="center"/>
              <w:rPr>
                <w:rFonts w:ascii="宋体" w:hAnsi="宋体" w:cs="宋体"/>
                <w:b/>
                <w:bCs/>
                <w:sz w:val="20"/>
              </w:rPr>
            </w:pPr>
            <w:r>
              <w:rPr>
                <w:rFonts w:ascii="宋体" w:hAnsi="宋体" w:cs="宋体"/>
                <w:b/>
                <w:bCs/>
                <w:sz w:val="20"/>
              </w:rPr>
              <w:t>9</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12</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rPr>
                <w:rFonts w:ascii="宋体" w:hAnsi="宋体" w:cs="宋体"/>
                <w:b/>
                <w:bCs/>
                <w:sz w:val="20"/>
              </w:rPr>
            </w:pPr>
          </w:p>
        </w:tc>
        <w:tc>
          <w:tcPr>
            <w:tcW w:w="327" w:type="pct"/>
            <w:gridSpan w:val="4"/>
            <w:vMerge w:val="restart"/>
            <w:vAlign w:val="center"/>
          </w:tcPr>
          <w:p>
            <w:pPr>
              <w:jc w:val="center"/>
              <w:rPr>
                <w:rFonts w:ascii="宋体" w:hAnsi="宋体" w:cs="宋体"/>
                <w:b/>
                <w:bCs/>
                <w:sz w:val="20"/>
              </w:rPr>
            </w:pPr>
            <w:r>
              <w:rPr>
                <w:rFonts w:ascii="宋体" w:hAnsi="宋体" w:cs="宋体"/>
                <w:bCs/>
                <w:sz w:val="20"/>
              </w:rPr>
              <w:t>公共建筑</w:t>
            </w:r>
          </w:p>
        </w:tc>
        <w:tc>
          <w:tcPr>
            <w:tcW w:w="1807" w:type="pct"/>
            <w:gridSpan w:val="4"/>
            <w:vAlign w:val="center"/>
          </w:tcPr>
          <w:p>
            <w:pPr>
              <w:rPr>
                <w:rFonts w:ascii="宋体" w:hAnsi="宋体" w:cs="宋体"/>
                <w:bCs/>
                <w:sz w:val="20"/>
              </w:rPr>
            </w:pPr>
            <w:r>
              <w:rPr>
                <w:rFonts w:ascii="宋体" w:hAnsi="宋体" w:cs="宋体"/>
                <w:bCs/>
                <w:sz w:val="20"/>
              </w:rPr>
              <w:t>内区采光系数满足采光要求的面积比例达到60%。</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327" w:type="pct"/>
            <w:gridSpan w:val="4"/>
            <w:vMerge w:val="continue"/>
            <w:vAlign w:val="center"/>
          </w:tcPr>
          <w:p>
            <w:pPr>
              <w:widowControl/>
              <w:rPr>
                <w:rFonts w:ascii="宋体" w:hAnsi="宋体" w:cs="宋体"/>
                <w:b/>
                <w:bCs/>
                <w:sz w:val="20"/>
              </w:rPr>
            </w:pPr>
          </w:p>
        </w:tc>
        <w:tc>
          <w:tcPr>
            <w:tcW w:w="1807" w:type="pct"/>
            <w:gridSpan w:val="4"/>
            <w:vAlign w:val="center"/>
          </w:tcPr>
          <w:p>
            <w:pPr>
              <w:rPr>
                <w:rFonts w:ascii="宋体" w:hAnsi="宋体" w:cs="宋体"/>
                <w:bCs/>
                <w:sz w:val="20"/>
              </w:rPr>
            </w:pPr>
            <w:r>
              <w:rPr>
                <w:rFonts w:ascii="宋体" w:hAnsi="宋体" w:cs="宋体"/>
                <w:bCs/>
                <w:sz w:val="20"/>
              </w:rPr>
              <w:t>地下空间平均采光系数≥0.5%的面积与首层地下室面积的比例达到10%以上。</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327" w:type="pct"/>
            <w:gridSpan w:val="4"/>
            <w:vMerge w:val="continue"/>
            <w:vAlign w:val="center"/>
          </w:tcPr>
          <w:p>
            <w:pPr>
              <w:widowControl/>
              <w:rPr>
                <w:rFonts w:ascii="宋体" w:hAnsi="宋体" w:cs="宋体"/>
                <w:b/>
                <w:bCs/>
                <w:sz w:val="20"/>
              </w:rPr>
            </w:pPr>
          </w:p>
        </w:tc>
        <w:tc>
          <w:tcPr>
            <w:tcW w:w="1807" w:type="pct"/>
            <w:gridSpan w:val="4"/>
            <w:vAlign w:val="center"/>
          </w:tcPr>
          <w:p>
            <w:pPr>
              <w:rPr>
                <w:rFonts w:ascii="宋体" w:hAnsi="宋体" w:cs="宋体"/>
                <w:bCs/>
                <w:sz w:val="20"/>
              </w:rPr>
            </w:pPr>
            <w:r>
              <w:rPr>
                <w:rFonts w:ascii="宋体" w:hAnsi="宋体" w:cs="宋体"/>
                <w:bCs/>
                <w:sz w:val="20"/>
              </w:rPr>
              <w:t>主要功能空间至少60%面积比例区域采光照度值不低于采光要求的小时数平均不少于4h/d。</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rPr>
                <w:rFonts w:ascii="宋体" w:hAnsi="宋体" w:cs="宋体"/>
                <w:b/>
                <w:bCs/>
                <w:sz w:val="20"/>
              </w:rPr>
            </w:pPr>
            <w:r>
              <w:rPr>
                <w:rFonts w:ascii="宋体" w:hAnsi="宋体" w:cs="宋体"/>
                <w:bCs/>
                <w:sz w:val="20"/>
              </w:rPr>
              <w:t>主要功能房间有眩光控制措施。</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shd w:val="clear" w:color="000000" w:fill="FFFFFF"/>
            <w:vAlign w:val="center"/>
          </w:tcPr>
          <w:p>
            <w:pPr>
              <w:widowControl/>
              <w:rPr>
                <w:rFonts w:ascii="宋体" w:hAnsi="宋体" w:cs="宋体"/>
                <w:sz w:val="20"/>
              </w:rPr>
            </w:pPr>
          </w:p>
        </w:tc>
        <w:tc>
          <w:tcPr>
            <w:tcW w:w="492" w:type="pct"/>
            <w:vMerge w:val="restart"/>
            <w:shd w:val="clear" w:color="000000" w:fill="FFFFFF"/>
            <w:noWrap/>
            <w:vAlign w:val="center"/>
          </w:tcPr>
          <w:p>
            <w:pPr>
              <w:widowControl/>
              <w:rPr>
                <w:rFonts w:ascii="宋体" w:hAnsi="宋体" w:cs="宋体"/>
                <w:sz w:val="20"/>
              </w:rPr>
            </w:pPr>
            <w:r>
              <w:rPr>
                <w:rFonts w:ascii="宋体" w:hAnsi="宋体" w:cs="宋体"/>
                <w:sz w:val="20"/>
              </w:rPr>
              <w:t>5.2.9</w:t>
            </w:r>
          </w:p>
        </w:tc>
        <w:tc>
          <w:tcPr>
            <w:tcW w:w="512" w:type="pct"/>
            <w:vMerge w:val="restart"/>
            <w:shd w:val="clear" w:color="auto" w:fill="auto"/>
            <w:vAlign w:val="center"/>
          </w:tcPr>
          <w:p>
            <w:pPr>
              <w:rPr>
                <w:rFonts w:ascii="宋体" w:hAnsi="宋体" w:cs="宋体"/>
                <w:b/>
                <w:bCs/>
                <w:sz w:val="20"/>
              </w:rPr>
            </w:pPr>
            <w:r>
              <w:rPr>
                <w:rFonts w:ascii="宋体" w:hAnsi="宋体" w:cs="宋体"/>
                <w:bCs/>
                <w:sz w:val="20"/>
              </w:rPr>
              <w:t>具有良好的室内热湿环境</w:t>
            </w:r>
          </w:p>
        </w:tc>
        <w:tc>
          <w:tcPr>
            <w:tcW w:w="2134" w:type="pct"/>
            <w:gridSpan w:val="8"/>
            <w:shd w:val="clear" w:color="auto" w:fill="auto"/>
            <w:vAlign w:val="center"/>
          </w:tcPr>
          <w:p>
            <w:pPr>
              <w:rPr>
                <w:rFonts w:ascii="宋体" w:hAnsi="宋体" w:cs="宋体"/>
                <w:bCs/>
                <w:sz w:val="20"/>
              </w:rPr>
            </w:pPr>
            <w:r>
              <w:rPr>
                <w:rFonts w:ascii="宋体" w:hAnsi="宋体" w:cs="宋体"/>
                <w:bCs/>
                <w:sz w:val="20"/>
              </w:rPr>
              <w:t>自然通风、复合通风：主要功能房间室内热环境参数在适应性热舒适区域的时间比例:</w:t>
            </w:r>
          </w:p>
          <w:p>
            <w:pPr>
              <w:rPr>
                <w:rFonts w:ascii="宋体" w:hAnsi="宋体" w:cs="宋体"/>
                <w:bCs/>
                <w:sz w:val="20"/>
              </w:rPr>
            </w:pPr>
            <w:r>
              <w:rPr>
                <w:rFonts w:ascii="宋体" w:hAnsi="宋体" w:cs="宋体"/>
                <w:bCs/>
                <w:sz w:val="20"/>
              </w:rPr>
              <w:t>30%，得2分；</w:t>
            </w:r>
          </w:p>
          <w:p>
            <w:pPr>
              <w:rPr>
                <w:rFonts w:ascii="宋体" w:hAnsi="宋体" w:cs="宋体"/>
                <w:bCs/>
                <w:sz w:val="20"/>
              </w:rPr>
            </w:pPr>
            <w:r>
              <w:rPr>
                <w:rFonts w:ascii="宋体" w:hAnsi="宋体" w:cs="宋体"/>
                <w:bCs/>
                <w:sz w:val="20"/>
              </w:rPr>
              <w:t>40%，得3分；</w:t>
            </w:r>
          </w:p>
          <w:p>
            <w:pPr>
              <w:rPr>
                <w:rFonts w:ascii="宋体" w:hAnsi="宋体" w:cs="宋体"/>
                <w:bCs/>
                <w:sz w:val="20"/>
              </w:rPr>
            </w:pPr>
            <w:r>
              <w:rPr>
                <w:rFonts w:ascii="宋体" w:hAnsi="宋体" w:cs="宋体"/>
                <w:bCs/>
                <w:sz w:val="20"/>
              </w:rPr>
              <w:t>50%，得4分；</w:t>
            </w:r>
          </w:p>
          <w:p>
            <w:pPr>
              <w:rPr>
                <w:rFonts w:ascii="宋体" w:hAnsi="宋体" w:cs="宋体"/>
                <w:bCs/>
                <w:sz w:val="20"/>
              </w:rPr>
            </w:pPr>
            <w:r>
              <w:rPr>
                <w:rFonts w:ascii="宋体" w:hAnsi="宋体" w:cs="宋体"/>
                <w:bCs/>
                <w:sz w:val="20"/>
              </w:rPr>
              <w:t>60%，得5分；</w:t>
            </w:r>
          </w:p>
          <w:p>
            <w:pPr>
              <w:rPr>
                <w:rFonts w:ascii="宋体" w:hAnsi="宋体" w:cs="宋体"/>
                <w:bCs/>
                <w:sz w:val="20"/>
              </w:rPr>
            </w:pPr>
            <w:r>
              <w:rPr>
                <w:rFonts w:ascii="宋体" w:hAnsi="宋体" w:cs="宋体"/>
                <w:bCs/>
                <w:sz w:val="20"/>
              </w:rPr>
              <w:t>70%，得6分；</w:t>
            </w:r>
          </w:p>
          <w:p>
            <w:pPr>
              <w:rPr>
                <w:rFonts w:ascii="宋体" w:hAnsi="宋体" w:cs="宋体"/>
                <w:bCs/>
                <w:sz w:val="20"/>
              </w:rPr>
            </w:pPr>
            <w:r>
              <w:rPr>
                <w:rFonts w:ascii="宋体" w:hAnsi="宋体" w:cs="宋体"/>
                <w:bCs/>
                <w:sz w:val="20"/>
              </w:rPr>
              <w:t>80%，得7分；</w:t>
            </w:r>
          </w:p>
          <w:p>
            <w:pPr>
              <w:rPr>
                <w:rFonts w:ascii="宋体" w:hAnsi="宋体" w:cs="宋体"/>
                <w:b/>
                <w:bCs/>
                <w:sz w:val="20"/>
              </w:rPr>
            </w:pPr>
            <w:r>
              <w:rPr>
                <w:rFonts w:ascii="宋体" w:hAnsi="宋体" w:cs="宋体"/>
                <w:bCs/>
                <w:sz w:val="20"/>
              </w:rPr>
              <w:t>90%及以上，得8分。</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Merge w:val="restart"/>
            <w:shd w:val="clear" w:color="000000" w:fill="FFFFFF"/>
            <w:vAlign w:val="center"/>
          </w:tcPr>
          <w:p>
            <w:pPr>
              <w:widowControl/>
              <w:jc w:val="center"/>
              <w:rPr>
                <w:rFonts w:ascii="宋体" w:hAnsi="宋体" w:cs="宋体"/>
                <w:b/>
                <w:bCs/>
                <w:sz w:val="20"/>
              </w:rPr>
            </w:pPr>
            <w:r>
              <w:rPr>
                <w:rFonts w:ascii="宋体" w:hAnsi="宋体" w:cs="宋体"/>
                <w:b/>
                <w:bCs/>
                <w:sz w:val="20"/>
              </w:rPr>
              <w:t>8</w:t>
            </w: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rPr>
                <w:rFonts w:ascii="宋体" w:hAnsi="宋体" w:cs="宋体"/>
                <w:bCs/>
                <w:sz w:val="20"/>
              </w:rPr>
            </w:pPr>
            <w:r>
              <w:rPr>
                <w:rFonts w:ascii="宋体" w:hAnsi="宋体" w:cs="宋体"/>
                <w:bCs/>
                <w:sz w:val="20"/>
              </w:rPr>
              <w:t>人工冷热源：</w:t>
            </w:r>
          </w:p>
          <w:p>
            <w:pPr>
              <w:rPr>
                <w:rFonts w:ascii="宋体" w:hAnsi="宋体" w:cs="宋体"/>
                <w:bCs/>
                <w:sz w:val="20"/>
              </w:rPr>
            </w:pPr>
            <w:r>
              <w:rPr>
                <w:rFonts w:ascii="宋体" w:hAnsi="宋体" w:cs="宋体"/>
                <w:bCs/>
                <w:sz w:val="20"/>
              </w:rPr>
              <w:t>主要功能房间达到现行国家标准《民用建筑室内热湿环境评价标准》GB/T 50785规定的室内人工冷热源热湿环境整体评价Ⅱ级面积比例：60%，得5分；</w:t>
            </w:r>
          </w:p>
          <w:p>
            <w:pPr>
              <w:rPr>
                <w:rFonts w:ascii="宋体" w:hAnsi="宋体" w:cs="宋体"/>
                <w:bCs/>
                <w:sz w:val="20"/>
              </w:rPr>
            </w:pPr>
            <w:r>
              <w:rPr>
                <w:rFonts w:ascii="宋体" w:hAnsi="宋体" w:cs="宋体"/>
                <w:bCs/>
                <w:sz w:val="20"/>
              </w:rPr>
              <w:t>70%，得6分；</w:t>
            </w:r>
          </w:p>
          <w:p>
            <w:pPr>
              <w:rPr>
                <w:rFonts w:ascii="宋体" w:hAnsi="宋体" w:cs="宋体"/>
                <w:bCs/>
                <w:sz w:val="20"/>
              </w:rPr>
            </w:pPr>
            <w:r>
              <w:rPr>
                <w:rFonts w:ascii="宋体" w:hAnsi="宋体" w:cs="宋体"/>
                <w:bCs/>
                <w:sz w:val="20"/>
              </w:rPr>
              <w:t>80%，得7分；</w:t>
            </w:r>
          </w:p>
          <w:p>
            <w:pPr>
              <w:rPr>
                <w:rFonts w:ascii="宋体" w:hAnsi="宋体" w:cs="宋体"/>
                <w:b/>
                <w:bCs/>
                <w:sz w:val="20"/>
              </w:rPr>
            </w:pPr>
            <w:r>
              <w:rPr>
                <w:rFonts w:ascii="宋体" w:hAnsi="宋体" w:cs="宋体"/>
                <w:bCs/>
                <w:sz w:val="20"/>
              </w:rPr>
              <w:t>90%及以上，得8分。</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Merge w:val="continue"/>
            <w:vAlign w:val="center"/>
          </w:tcPr>
          <w:p>
            <w:pPr>
              <w:widowControl/>
              <w:jc w:val="center"/>
              <w:rPr>
                <w:rFonts w:ascii="宋体" w:hAnsi="宋体" w:cs="宋体"/>
                <w:b/>
                <w:bCs/>
                <w:sz w:val="20"/>
              </w:rPr>
            </w:pP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5.2.10</w:t>
            </w:r>
          </w:p>
        </w:tc>
        <w:tc>
          <w:tcPr>
            <w:tcW w:w="512" w:type="pct"/>
            <w:vMerge w:val="restart"/>
            <w:shd w:val="clear" w:color="auto" w:fill="auto"/>
            <w:vAlign w:val="center"/>
          </w:tcPr>
          <w:p>
            <w:pPr>
              <w:widowControl/>
              <w:rPr>
                <w:rFonts w:ascii="宋体" w:hAnsi="宋体" w:cs="宋体"/>
                <w:b/>
                <w:bCs/>
                <w:sz w:val="20"/>
              </w:rPr>
            </w:pPr>
            <w:r>
              <w:rPr>
                <w:rFonts w:ascii="宋体" w:hAnsi="宋体" w:cs="宋体"/>
                <w:sz w:val="20"/>
              </w:rPr>
              <w:t>优化建筑空间和平面布局，改善自然通风效果。</w:t>
            </w:r>
          </w:p>
        </w:tc>
        <w:tc>
          <w:tcPr>
            <w:tcW w:w="2134" w:type="pct"/>
            <w:gridSpan w:val="8"/>
            <w:shd w:val="clear" w:color="auto" w:fill="auto"/>
            <w:vAlign w:val="center"/>
          </w:tcPr>
          <w:p>
            <w:pPr>
              <w:widowControl/>
              <w:rPr>
                <w:rFonts w:ascii="宋体" w:hAnsi="宋体" w:cs="宋体"/>
                <w:bCs/>
                <w:sz w:val="20"/>
              </w:rPr>
            </w:pPr>
            <w:r>
              <w:rPr>
                <w:rFonts w:ascii="宋体" w:hAnsi="宋体" w:cs="宋体"/>
                <w:bCs/>
                <w:sz w:val="20"/>
              </w:rPr>
              <w:t>住宅建筑通风开口面积与房间地板面积的比例：                                        夏热冬冷地区达到8%，得5分；</w:t>
            </w:r>
          </w:p>
          <w:p>
            <w:pPr>
              <w:widowControl/>
              <w:rPr>
                <w:rFonts w:ascii="宋体" w:hAnsi="宋体" w:cs="宋体"/>
                <w:bCs/>
                <w:sz w:val="20"/>
              </w:rPr>
            </w:pPr>
            <w:r>
              <w:rPr>
                <w:rFonts w:ascii="宋体" w:hAnsi="宋体" w:cs="宋体"/>
                <w:bCs/>
                <w:sz w:val="20"/>
              </w:rPr>
              <w:t>达到10%，得6分；</w:t>
            </w:r>
          </w:p>
          <w:p>
            <w:pPr>
              <w:widowControl/>
              <w:rPr>
                <w:rFonts w:ascii="宋体" w:hAnsi="宋体" w:cs="宋体"/>
                <w:bCs/>
                <w:sz w:val="20"/>
              </w:rPr>
            </w:pPr>
            <w:r>
              <w:rPr>
                <w:rFonts w:ascii="宋体" w:hAnsi="宋体" w:cs="宋体"/>
                <w:bCs/>
                <w:sz w:val="20"/>
              </w:rPr>
              <w:t>达到12%，得7分；</w:t>
            </w:r>
          </w:p>
          <w:p>
            <w:pPr>
              <w:widowControl/>
              <w:rPr>
                <w:rFonts w:ascii="宋体" w:hAnsi="宋体" w:cs="宋体"/>
                <w:bCs/>
                <w:sz w:val="20"/>
              </w:rPr>
            </w:pPr>
            <w:r>
              <w:rPr>
                <w:rFonts w:ascii="宋体" w:hAnsi="宋体" w:cs="宋体"/>
                <w:bCs/>
                <w:sz w:val="20"/>
              </w:rPr>
              <w:t>达到14%及以上，得8分。</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8</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widowControl/>
              <w:rPr>
                <w:rFonts w:ascii="宋体" w:hAnsi="宋体" w:cs="宋体"/>
                <w:bCs/>
                <w:sz w:val="20"/>
              </w:rPr>
            </w:pPr>
            <w:r>
              <w:rPr>
                <w:rFonts w:ascii="宋体" w:hAnsi="宋体" w:cs="宋体"/>
                <w:bCs/>
                <w:sz w:val="20"/>
              </w:rPr>
              <w:t>公共建筑过渡季典型工况下主要功能房间的平均自然通风换气次数不小于2次/h的面积比例：</w:t>
            </w:r>
          </w:p>
          <w:p>
            <w:pPr>
              <w:widowControl/>
              <w:rPr>
                <w:rFonts w:ascii="宋体" w:hAnsi="宋体" w:cs="宋体"/>
                <w:bCs/>
                <w:sz w:val="20"/>
              </w:rPr>
            </w:pPr>
            <w:r>
              <w:rPr>
                <w:rFonts w:ascii="宋体" w:hAnsi="宋体" w:cs="宋体"/>
                <w:bCs/>
                <w:sz w:val="20"/>
              </w:rPr>
              <w:t>70%≤RR＜80%，得5分；</w:t>
            </w:r>
          </w:p>
          <w:p>
            <w:pPr>
              <w:widowControl/>
              <w:rPr>
                <w:rFonts w:ascii="宋体" w:hAnsi="宋体" w:cs="宋体"/>
                <w:bCs/>
                <w:sz w:val="20"/>
              </w:rPr>
            </w:pPr>
            <w:r>
              <w:rPr>
                <w:rFonts w:ascii="宋体" w:hAnsi="宋体" w:cs="宋体"/>
                <w:bCs/>
                <w:sz w:val="20"/>
              </w:rPr>
              <w:t>80%≤RR＜90%，得6分；</w:t>
            </w:r>
          </w:p>
          <w:p>
            <w:pPr>
              <w:widowControl/>
              <w:rPr>
                <w:rFonts w:ascii="宋体" w:hAnsi="宋体" w:cs="宋体"/>
                <w:bCs/>
                <w:sz w:val="20"/>
              </w:rPr>
            </w:pPr>
            <w:r>
              <w:rPr>
                <w:rFonts w:ascii="宋体" w:hAnsi="宋体" w:cs="宋体"/>
                <w:bCs/>
                <w:sz w:val="20"/>
              </w:rPr>
              <w:t>90%≤RR＜100%，得7分；</w:t>
            </w:r>
          </w:p>
          <w:p>
            <w:pPr>
              <w:widowControl/>
              <w:rPr>
                <w:rFonts w:ascii="宋体" w:hAnsi="宋体" w:cs="宋体"/>
                <w:bCs/>
                <w:sz w:val="20"/>
              </w:rPr>
            </w:pPr>
            <w:r>
              <w:rPr>
                <w:rFonts w:ascii="宋体" w:hAnsi="宋体" w:cs="宋体"/>
                <w:bCs/>
                <w:sz w:val="20"/>
              </w:rPr>
              <w:t>100%，得8分。</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5.2.11</w:t>
            </w:r>
          </w:p>
        </w:tc>
        <w:tc>
          <w:tcPr>
            <w:tcW w:w="512" w:type="pct"/>
            <w:shd w:val="clear" w:color="auto" w:fill="auto"/>
            <w:vAlign w:val="center"/>
          </w:tcPr>
          <w:p>
            <w:pPr>
              <w:rPr>
                <w:rFonts w:ascii="宋体" w:hAnsi="宋体" w:cs="宋体"/>
                <w:bCs/>
                <w:sz w:val="20"/>
              </w:rPr>
            </w:pPr>
            <w:r>
              <w:rPr>
                <w:rFonts w:ascii="宋体" w:hAnsi="宋体" w:cs="宋体"/>
                <w:bCs/>
                <w:sz w:val="20"/>
              </w:rPr>
              <w:t>设置可调节遮阳设施，改善室内热舒适。</w:t>
            </w:r>
          </w:p>
        </w:tc>
        <w:tc>
          <w:tcPr>
            <w:tcW w:w="2134" w:type="pct"/>
            <w:gridSpan w:val="8"/>
            <w:shd w:val="clear" w:color="auto" w:fill="auto"/>
            <w:vAlign w:val="center"/>
          </w:tcPr>
          <w:p>
            <w:pPr>
              <w:rPr>
                <w:rFonts w:ascii="宋体" w:hAnsi="宋体" w:cs="宋体"/>
                <w:bCs/>
                <w:sz w:val="20"/>
              </w:rPr>
            </w:pPr>
            <w:r>
              <w:rPr>
                <w:rFonts w:ascii="宋体" w:hAnsi="宋体" w:cs="宋体"/>
                <w:bCs/>
                <w:sz w:val="20"/>
              </w:rPr>
              <w:t>可调节遮阳设施面积占外窗透明部分比例SZ：</w:t>
            </w:r>
          </w:p>
          <w:p>
            <w:pPr>
              <w:rPr>
                <w:rFonts w:ascii="宋体" w:hAnsi="宋体" w:cs="宋体"/>
                <w:bCs/>
                <w:sz w:val="20"/>
              </w:rPr>
            </w:pPr>
            <w:r>
              <w:rPr>
                <w:rFonts w:ascii="宋体" w:hAnsi="宋体" w:cs="宋体"/>
                <w:bCs/>
                <w:sz w:val="20"/>
              </w:rPr>
              <w:t>25%≤SZ＜35%，得3分；</w:t>
            </w:r>
          </w:p>
          <w:p>
            <w:pPr>
              <w:rPr>
                <w:rFonts w:ascii="宋体" w:hAnsi="宋体" w:cs="宋体"/>
                <w:bCs/>
                <w:sz w:val="20"/>
              </w:rPr>
            </w:pPr>
            <w:r>
              <w:rPr>
                <w:rFonts w:ascii="宋体" w:hAnsi="宋体" w:cs="宋体"/>
                <w:bCs/>
                <w:sz w:val="20"/>
              </w:rPr>
              <w:t>35%≤SZ＜45%，得5分；</w:t>
            </w:r>
          </w:p>
          <w:p>
            <w:pPr>
              <w:rPr>
                <w:rFonts w:ascii="宋体" w:hAnsi="宋体" w:cs="宋体"/>
                <w:bCs/>
                <w:sz w:val="20"/>
              </w:rPr>
            </w:pPr>
            <w:r>
              <w:rPr>
                <w:rFonts w:ascii="宋体" w:hAnsi="宋体" w:cs="宋体"/>
                <w:bCs/>
                <w:sz w:val="20"/>
              </w:rPr>
              <w:t>45%≤SZ＜55%，得7分；</w:t>
            </w:r>
          </w:p>
          <w:p>
            <w:pPr>
              <w:rPr>
                <w:rFonts w:ascii="宋体" w:hAnsi="宋体" w:cs="宋体"/>
                <w:bCs/>
                <w:sz w:val="20"/>
              </w:rPr>
            </w:pPr>
            <w:r>
              <w:rPr>
                <w:rFonts w:ascii="宋体" w:hAnsi="宋体" w:cs="宋体"/>
                <w:bCs/>
                <w:sz w:val="20"/>
              </w:rPr>
              <w:t>SZ≥55%，得9分。</w:t>
            </w:r>
          </w:p>
        </w:tc>
        <w:tc>
          <w:tcPr>
            <w:tcW w:w="391" w:type="pct"/>
            <w:vAlign w:val="center"/>
          </w:tcPr>
          <w:p>
            <w:pPr>
              <w:widowControl/>
              <w:jc w:val="center"/>
              <w:rPr>
                <w:rFonts w:ascii="宋体" w:hAnsi="宋体" w:cs="宋体"/>
                <w:b/>
                <w:bCs/>
                <w:sz w:val="20"/>
              </w:rPr>
            </w:pPr>
            <w:r>
              <w:rPr>
                <w:rFonts w:ascii="宋体" w:hAnsi="宋体" w:cs="宋体"/>
                <w:b/>
                <w:bCs/>
                <w:sz w:val="20"/>
              </w:rPr>
              <w:t>9</w:t>
            </w:r>
          </w:p>
        </w:tc>
        <w:tc>
          <w:tcPr>
            <w:tcW w:w="375" w:type="pct"/>
            <w:shd w:val="clear" w:color="auto" w:fill="auto"/>
            <w:vAlign w:val="center"/>
          </w:tcPr>
          <w:p>
            <w:pPr>
              <w:widowControl/>
              <w:jc w:val="center"/>
              <w:rPr>
                <w:rFonts w:ascii="宋体" w:hAnsi="宋体" w:cs="宋体"/>
                <w:b/>
                <w:bCs/>
                <w:sz w:val="20"/>
              </w:rPr>
            </w:pPr>
            <w:r>
              <w:rPr>
                <w:rFonts w:ascii="宋体" w:hAnsi="宋体" w:cs="宋体"/>
                <w:b/>
                <w:bCs/>
                <w:sz w:val="20"/>
              </w:rPr>
              <w:t>9</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restart"/>
            <w:vAlign w:val="center"/>
          </w:tcPr>
          <w:p>
            <w:pPr>
              <w:widowControl/>
              <w:rPr>
                <w:rFonts w:ascii="宋体" w:hAnsi="宋体" w:cs="宋体"/>
                <w:sz w:val="20"/>
              </w:rPr>
            </w:pPr>
            <w:r>
              <w:rPr>
                <w:rFonts w:ascii="宋体" w:hAnsi="宋体" w:cs="宋体"/>
                <w:sz w:val="20"/>
              </w:rPr>
              <w:t>生活便利</w:t>
            </w:r>
          </w:p>
        </w:tc>
        <w:tc>
          <w:tcPr>
            <w:tcW w:w="492" w:type="pct"/>
            <w:shd w:val="clear" w:color="auto" w:fill="auto"/>
            <w:noWrap/>
            <w:vAlign w:val="center"/>
          </w:tcPr>
          <w:p>
            <w:pPr>
              <w:widowControl/>
              <w:rPr>
                <w:rFonts w:ascii="宋体" w:hAnsi="宋体" w:cs="宋体"/>
                <w:sz w:val="20"/>
              </w:rPr>
            </w:pPr>
            <w:r>
              <w:rPr>
                <w:rFonts w:ascii="宋体" w:hAnsi="宋体" w:cs="宋体"/>
                <w:sz w:val="20"/>
              </w:rPr>
              <w:t>6.1.1</w:t>
            </w:r>
          </w:p>
        </w:tc>
        <w:tc>
          <w:tcPr>
            <w:tcW w:w="2646" w:type="pct"/>
            <w:gridSpan w:val="9"/>
            <w:shd w:val="clear" w:color="auto" w:fill="auto"/>
            <w:vAlign w:val="center"/>
          </w:tcPr>
          <w:p>
            <w:pPr>
              <w:rPr>
                <w:rFonts w:ascii="宋体" w:hAnsi="宋体" w:cs="宋体"/>
                <w:bCs/>
                <w:sz w:val="20"/>
              </w:rPr>
            </w:pPr>
            <w:r>
              <w:rPr>
                <w:rFonts w:ascii="宋体" w:hAnsi="宋体" w:cs="宋体"/>
                <w:bCs/>
                <w:sz w:val="20"/>
              </w:rPr>
              <w:t>建筑、室外场地、公共绿地、城市道路相互之间应设置连贯的无障碍步行系统。</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6.1.2</w:t>
            </w:r>
          </w:p>
        </w:tc>
        <w:tc>
          <w:tcPr>
            <w:tcW w:w="2646" w:type="pct"/>
            <w:gridSpan w:val="9"/>
            <w:shd w:val="clear" w:color="auto" w:fill="auto"/>
            <w:vAlign w:val="center"/>
          </w:tcPr>
          <w:p>
            <w:pPr>
              <w:rPr>
                <w:rFonts w:ascii="宋体" w:hAnsi="宋体" w:cs="宋体"/>
                <w:bCs/>
                <w:sz w:val="20"/>
              </w:rPr>
            </w:pPr>
            <w:r>
              <w:rPr>
                <w:rFonts w:ascii="宋体" w:hAnsi="宋体" w:cs="宋体"/>
                <w:bCs/>
                <w:sz w:val="20"/>
              </w:rPr>
              <w:t>场地人行出入口500m内应设有公共交通站点或配备联系公共交通站点的专用接驳车。</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6.1.3</w:t>
            </w:r>
          </w:p>
        </w:tc>
        <w:tc>
          <w:tcPr>
            <w:tcW w:w="2646" w:type="pct"/>
            <w:gridSpan w:val="9"/>
            <w:shd w:val="clear" w:color="auto" w:fill="auto"/>
            <w:vAlign w:val="center"/>
          </w:tcPr>
          <w:p>
            <w:pPr>
              <w:rPr>
                <w:rFonts w:ascii="宋体" w:hAnsi="宋体" w:cs="宋体"/>
                <w:bCs/>
                <w:sz w:val="20"/>
              </w:rPr>
            </w:pPr>
            <w:r>
              <w:rPr>
                <w:rFonts w:ascii="宋体" w:hAnsi="宋体" w:cs="宋体"/>
                <w:bCs/>
                <w:sz w:val="20"/>
              </w:rPr>
              <w:t>停车场应具有电动汽车充电设施或具备充电设施的安装条件，并应合理设置电动汽车和无障碍汽车停车位。</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6.1.4</w:t>
            </w:r>
          </w:p>
        </w:tc>
        <w:tc>
          <w:tcPr>
            <w:tcW w:w="2646" w:type="pct"/>
            <w:gridSpan w:val="9"/>
            <w:shd w:val="clear" w:color="auto" w:fill="auto"/>
            <w:vAlign w:val="center"/>
          </w:tcPr>
          <w:p>
            <w:pPr>
              <w:rPr>
                <w:rFonts w:ascii="宋体" w:hAnsi="宋体" w:cs="宋体"/>
                <w:bCs/>
                <w:sz w:val="20"/>
              </w:rPr>
            </w:pPr>
            <w:r>
              <w:rPr>
                <w:rFonts w:ascii="宋体" w:hAnsi="宋体" w:cs="宋体"/>
                <w:bCs/>
                <w:sz w:val="20"/>
              </w:rPr>
              <w:t>自行车停车场所应位置合理、方便出入。</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6.1.5</w:t>
            </w:r>
          </w:p>
        </w:tc>
        <w:tc>
          <w:tcPr>
            <w:tcW w:w="2646" w:type="pct"/>
            <w:gridSpan w:val="9"/>
            <w:shd w:val="clear" w:color="auto" w:fill="auto"/>
            <w:vAlign w:val="center"/>
          </w:tcPr>
          <w:p>
            <w:pPr>
              <w:rPr>
                <w:rFonts w:ascii="宋体" w:hAnsi="宋体" w:cs="宋体"/>
                <w:bCs/>
                <w:sz w:val="20"/>
              </w:rPr>
            </w:pPr>
            <w:r>
              <w:rPr>
                <w:rFonts w:ascii="宋体" w:hAnsi="宋体" w:cs="宋体"/>
                <w:bCs/>
                <w:sz w:val="20"/>
              </w:rPr>
              <w:t>建筑设备管理系统应具有自动监控管理功能。</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6.1.6</w:t>
            </w:r>
          </w:p>
        </w:tc>
        <w:tc>
          <w:tcPr>
            <w:tcW w:w="2646" w:type="pct"/>
            <w:gridSpan w:val="9"/>
            <w:shd w:val="clear" w:color="auto" w:fill="auto"/>
            <w:vAlign w:val="center"/>
          </w:tcPr>
          <w:p>
            <w:pPr>
              <w:rPr>
                <w:rFonts w:ascii="宋体" w:hAnsi="宋体" w:cs="宋体"/>
                <w:bCs/>
                <w:sz w:val="20"/>
              </w:rPr>
            </w:pPr>
            <w:r>
              <w:rPr>
                <w:rFonts w:ascii="宋体" w:hAnsi="宋体" w:cs="宋体"/>
                <w:bCs/>
                <w:sz w:val="20"/>
              </w:rPr>
              <w:t>建筑应设置信息网络系统。</w:t>
            </w:r>
          </w:p>
        </w:tc>
        <w:tc>
          <w:tcPr>
            <w:tcW w:w="766" w:type="pct"/>
            <w:gridSpan w:val="2"/>
            <w:vAlign w:val="center"/>
          </w:tcPr>
          <w:p>
            <w:pPr>
              <w:widowControl/>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6.2.1</w:t>
            </w:r>
          </w:p>
        </w:tc>
        <w:tc>
          <w:tcPr>
            <w:tcW w:w="512" w:type="pct"/>
            <w:vMerge w:val="restart"/>
            <w:shd w:val="clear" w:color="auto" w:fill="auto"/>
            <w:vAlign w:val="center"/>
          </w:tcPr>
          <w:p>
            <w:pPr>
              <w:rPr>
                <w:rFonts w:ascii="宋体" w:hAnsi="宋体" w:cs="宋体"/>
                <w:b/>
                <w:bCs/>
                <w:sz w:val="20"/>
              </w:rPr>
            </w:pPr>
            <w:r>
              <w:rPr>
                <w:rFonts w:ascii="宋体" w:hAnsi="宋体" w:cs="宋体"/>
                <w:bCs/>
                <w:sz w:val="20"/>
              </w:rPr>
              <w:t>场地与公共公交通站点联系便捷。</w:t>
            </w:r>
          </w:p>
        </w:tc>
        <w:tc>
          <w:tcPr>
            <w:tcW w:w="2134" w:type="pct"/>
            <w:gridSpan w:val="8"/>
            <w:shd w:val="clear" w:color="auto" w:fill="auto"/>
            <w:vAlign w:val="center"/>
          </w:tcPr>
          <w:p>
            <w:pPr>
              <w:rPr>
                <w:rFonts w:ascii="宋体" w:hAnsi="宋体" w:cs="宋体"/>
                <w:bCs/>
                <w:sz w:val="20"/>
              </w:rPr>
            </w:pPr>
            <w:r>
              <w:rPr>
                <w:rFonts w:ascii="宋体" w:hAnsi="宋体" w:cs="宋体"/>
                <w:bCs/>
                <w:sz w:val="20"/>
              </w:rPr>
              <w:t>场地出入口到达公共交通站点的步行距离不大于500m，或到达轨道交通站的步行距离不大于800m；得2分；</w:t>
            </w:r>
          </w:p>
          <w:p>
            <w:pPr>
              <w:rPr>
                <w:rFonts w:ascii="宋体" w:hAnsi="宋体" w:cs="宋体"/>
                <w:b/>
                <w:bCs/>
                <w:sz w:val="20"/>
              </w:rPr>
            </w:pPr>
            <w:r>
              <w:rPr>
                <w:rFonts w:ascii="宋体" w:hAnsi="宋体" w:cs="宋体"/>
                <w:bCs/>
                <w:sz w:val="20"/>
              </w:rPr>
              <w:t>场地出入口到达公共交通站点的步行距离不大于300m，或到达轨道交通站的步行距离不大于500m ；得4分；</w:t>
            </w:r>
          </w:p>
        </w:tc>
        <w:tc>
          <w:tcPr>
            <w:tcW w:w="391" w:type="pct"/>
            <w:vAlign w:val="center"/>
          </w:tcPr>
          <w:p>
            <w:pPr>
              <w:widowControl/>
              <w:jc w:val="center"/>
              <w:rPr>
                <w:rFonts w:ascii="宋体" w:hAnsi="宋体" w:cs="宋体"/>
                <w:b/>
                <w:bCs/>
                <w:sz w:val="20"/>
              </w:rPr>
            </w:pPr>
            <w:r>
              <w:rPr>
                <w:rFonts w:ascii="宋体" w:hAnsi="宋体" w:cs="宋体"/>
                <w:b/>
                <w:bCs/>
                <w:sz w:val="20"/>
              </w:rPr>
              <w:t>4</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8</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widowControl/>
              <w:rPr>
                <w:rFonts w:ascii="宋体" w:hAnsi="宋体" w:cs="宋体"/>
                <w:b/>
                <w:bCs/>
                <w:sz w:val="20"/>
              </w:rPr>
            </w:pPr>
            <w:r>
              <w:rPr>
                <w:rFonts w:ascii="宋体" w:hAnsi="宋体" w:cs="宋体"/>
                <w:sz w:val="20"/>
              </w:rPr>
              <w:t>场地出入口步行距离800m范围内设有2条及以上线路的公共交通站点。</w:t>
            </w:r>
          </w:p>
        </w:tc>
        <w:tc>
          <w:tcPr>
            <w:tcW w:w="391" w:type="pct"/>
            <w:vAlign w:val="center"/>
          </w:tcPr>
          <w:p>
            <w:pPr>
              <w:widowControl/>
              <w:jc w:val="center"/>
              <w:rPr>
                <w:rFonts w:ascii="宋体" w:hAnsi="宋体" w:cs="宋体"/>
                <w:b/>
                <w:bCs/>
                <w:sz w:val="20"/>
              </w:rPr>
            </w:pPr>
            <w:r>
              <w:rPr>
                <w:rFonts w:ascii="宋体" w:hAnsi="宋体" w:cs="宋体"/>
                <w:b/>
                <w:bCs/>
                <w:sz w:val="20"/>
              </w:rPr>
              <w:t>4</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6.2.2</w:t>
            </w:r>
          </w:p>
        </w:tc>
        <w:tc>
          <w:tcPr>
            <w:tcW w:w="512" w:type="pct"/>
            <w:vMerge w:val="restart"/>
            <w:shd w:val="clear" w:color="auto" w:fill="auto"/>
            <w:vAlign w:val="center"/>
          </w:tcPr>
          <w:p>
            <w:pPr>
              <w:rPr>
                <w:rFonts w:ascii="宋体" w:hAnsi="宋体" w:cs="宋体"/>
                <w:b/>
                <w:bCs/>
                <w:sz w:val="20"/>
              </w:rPr>
            </w:pPr>
            <w:r>
              <w:rPr>
                <w:rFonts w:ascii="宋体" w:hAnsi="宋体" w:cs="宋体"/>
                <w:bCs/>
                <w:sz w:val="20"/>
              </w:rPr>
              <w:t>建筑室内外公共区域满足全龄化设计要求</w:t>
            </w:r>
          </w:p>
        </w:tc>
        <w:tc>
          <w:tcPr>
            <w:tcW w:w="2134" w:type="pct"/>
            <w:gridSpan w:val="8"/>
            <w:shd w:val="clear" w:color="auto" w:fill="auto"/>
            <w:vAlign w:val="center"/>
          </w:tcPr>
          <w:p>
            <w:pPr>
              <w:rPr>
                <w:rFonts w:ascii="宋体" w:hAnsi="宋体" w:cs="宋体"/>
                <w:bCs/>
                <w:sz w:val="20"/>
              </w:rPr>
            </w:pPr>
            <w:r>
              <w:rPr>
                <w:rFonts w:ascii="宋体" w:hAnsi="宋体" w:cs="宋体"/>
                <w:bCs/>
                <w:sz w:val="20"/>
              </w:rPr>
              <w:t>建筑室内公共区域、室外公共活动场地及道路均满足无障碍设计要求。</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8</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rPr>
                <w:rFonts w:ascii="宋体" w:hAnsi="宋体" w:cs="宋体"/>
                <w:bCs/>
                <w:sz w:val="20"/>
              </w:rPr>
            </w:pPr>
            <w:r>
              <w:rPr>
                <w:rFonts w:ascii="宋体" w:hAnsi="宋体" w:cs="宋体"/>
                <w:bCs/>
                <w:sz w:val="20"/>
              </w:rPr>
              <w:t>建筑室内公共区域的墙、柱等处的阳角均为圆角，并设有安全抓杆或扶手。</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rPr>
                <w:rFonts w:ascii="宋体" w:hAnsi="宋体" w:cs="宋体"/>
                <w:bCs/>
                <w:sz w:val="20"/>
              </w:rPr>
            </w:pPr>
            <w:r>
              <w:rPr>
                <w:rFonts w:ascii="宋体" w:hAnsi="宋体" w:cs="宋体"/>
                <w:bCs/>
                <w:sz w:val="20"/>
              </w:rPr>
              <w:t>设有可容纳担架的无障碍电梯。</w:t>
            </w:r>
          </w:p>
        </w:tc>
        <w:tc>
          <w:tcPr>
            <w:tcW w:w="391" w:type="pct"/>
            <w:vAlign w:val="center"/>
          </w:tcPr>
          <w:p>
            <w:pPr>
              <w:widowControl/>
              <w:jc w:val="center"/>
              <w:rPr>
                <w:rFonts w:ascii="宋体" w:hAnsi="宋体" w:cs="宋体"/>
                <w:b/>
                <w:bCs/>
                <w:sz w:val="20"/>
              </w:rPr>
            </w:pPr>
            <w:r>
              <w:rPr>
                <w:rFonts w:ascii="宋体" w:hAnsi="宋体" w:cs="宋体"/>
                <w:b/>
                <w:bCs/>
                <w:sz w:val="20"/>
              </w:rPr>
              <w:t>2</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6.2.3</w:t>
            </w:r>
          </w:p>
        </w:tc>
        <w:tc>
          <w:tcPr>
            <w:tcW w:w="512" w:type="pct"/>
            <w:vMerge w:val="restart"/>
            <w:shd w:val="clear" w:color="auto" w:fill="auto"/>
            <w:vAlign w:val="center"/>
          </w:tcPr>
          <w:p>
            <w:pPr>
              <w:widowControl/>
              <w:rPr>
                <w:rFonts w:ascii="宋体" w:hAnsi="宋体" w:cs="宋体"/>
                <w:b/>
                <w:bCs/>
                <w:sz w:val="20"/>
              </w:rPr>
            </w:pPr>
            <w:r>
              <w:rPr>
                <w:rFonts w:ascii="宋体" w:hAnsi="宋体" w:cs="宋体"/>
                <w:sz w:val="20"/>
              </w:rPr>
              <w:t>提供便利的公共服务。</w:t>
            </w:r>
          </w:p>
        </w:tc>
        <w:tc>
          <w:tcPr>
            <w:tcW w:w="2134" w:type="pct"/>
            <w:gridSpan w:val="8"/>
            <w:shd w:val="clear" w:color="auto" w:fill="auto"/>
            <w:vAlign w:val="center"/>
          </w:tcPr>
          <w:p>
            <w:pPr>
              <w:rPr>
                <w:rFonts w:ascii="宋体" w:hAnsi="宋体" w:cs="宋体"/>
                <w:bCs/>
                <w:sz w:val="20"/>
              </w:rPr>
            </w:pPr>
            <w:r>
              <w:rPr>
                <w:rFonts w:ascii="宋体" w:hAnsi="宋体" w:cs="宋体"/>
                <w:bCs/>
                <w:sz w:val="20"/>
              </w:rPr>
              <w:t>居住建筑：满足4项，得5分；满足6项及以上，得10分；</w:t>
            </w:r>
          </w:p>
          <w:p>
            <w:pPr>
              <w:rPr>
                <w:rFonts w:ascii="宋体" w:hAnsi="宋体" w:cs="宋体"/>
                <w:bCs/>
                <w:sz w:val="20"/>
              </w:rPr>
            </w:pPr>
            <w:r>
              <w:rPr>
                <w:rFonts w:ascii="宋体" w:hAnsi="宋体" w:cs="宋体"/>
                <w:bCs/>
                <w:sz w:val="20"/>
              </w:rPr>
              <w:t>□场地出入口到达幼儿园的步行距离不超过300m；</w:t>
            </w:r>
          </w:p>
          <w:p>
            <w:pPr>
              <w:rPr>
                <w:rFonts w:ascii="宋体" w:hAnsi="宋体" w:cs="宋体"/>
                <w:bCs/>
                <w:sz w:val="20"/>
              </w:rPr>
            </w:pPr>
            <w:r>
              <w:rPr>
                <w:rFonts w:ascii="宋体" w:hAnsi="宋体" w:cs="宋体"/>
                <w:bCs/>
                <w:sz w:val="20"/>
              </w:rPr>
              <w:t>□场地出入口到达小学的步行距离不超过500m；</w:t>
            </w:r>
          </w:p>
          <w:p>
            <w:pPr>
              <w:rPr>
                <w:rFonts w:ascii="宋体" w:hAnsi="宋体" w:cs="宋体"/>
                <w:bCs/>
                <w:sz w:val="20"/>
              </w:rPr>
            </w:pPr>
            <w:r>
              <w:rPr>
                <w:rFonts w:ascii="宋体" w:hAnsi="宋体" w:cs="宋体"/>
                <w:bCs/>
                <w:sz w:val="20"/>
              </w:rPr>
              <w:t>□场地出入口到达中学的步行距离不超过1000m；</w:t>
            </w:r>
          </w:p>
          <w:p>
            <w:pPr>
              <w:rPr>
                <w:rFonts w:ascii="宋体" w:hAnsi="宋体" w:cs="宋体"/>
                <w:bCs/>
                <w:sz w:val="20"/>
              </w:rPr>
            </w:pPr>
            <w:r>
              <w:rPr>
                <w:rFonts w:ascii="宋体" w:hAnsi="宋体" w:cs="宋体"/>
                <w:bCs/>
                <w:sz w:val="20"/>
              </w:rPr>
              <w:t>□场地出入口到达医院的步行距离不超过1000m；</w:t>
            </w:r>
          </w:p>
          <w:p>
            <w:pPr>
              <w:rPr>
                <w:rFonts w:ascii="宋体" w:hAnsi="宋体" w:cs="宋体"/>
                <w:bCs/>
                <w:sz w:val="20"/>
              </w:rPr>
            </w:pPr>
            <w:r>
              <w:rPr>
                <w:rFonts w:ascii="宋体" w:hAnsi="宋体" w:cs="宋体"/>
                <w:bCs/>
                <w:sz w:val="20"/>
              </w:rPr>
              <w:t>□场地出入口到达群众文化活动设施的步行距离不超过800m；</w:t>
            </w:r>
          </w:p>
          <w:p>
            <w:pPr>
              <w:rPr>
                <w:rFonts w:ascii="宋体" w:hAnsi="宋体" w:cs="宋体"/>
                <w:bCs/>
                <w:sz w:val="20"/>
              </w:rPr>
            </w:pPr>
            <w:r>
              <w:rPr>
                <w:rFonts w:ascii="宋体" w:hAnsi="宋体" w:cs="宋体"/>
                <w:bCs/>
                <w:sz w:val="20"/>
              </w:rPr>
              <w:t>□场地出入口到达老年人日间照料设施的步行距离不超过500m；</w:t>
            </w:r>
          </w:p>
          <w:p>
            <w:pPr>
              <w:rPr>
                <w:rFonts w:ascii="宋体" w:hAnsi="宋体" w:cs="宋体"/>
                <w:bCs/>
                <w:sz w:val="20"/>
              </w:rPr>
            </w:pPr>
            <w:r>
              <w:rPr>
                <w:rFonts w:ascii="宋体" w:hAnsi="宋体" w:cs="宋体"/>
                <w:bCs/>
                <w:sz w:val="20"/>
              </w:rPr>
              <w:t>□场地周边500m范围内具有3种及以上的商业服务设施。</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10</w:t>
            </w:r>
          </w:p>
        </w:tc>
        <w:tc>
          <w:tcPr>
            <w:tcW w:w="455" w:type="pct"/>
            <w:vMerge w:val="restar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55" w:type="pct"/>
            <w:vMerge w:val="continue"/>
            <w:vAlign w:val="center"/>
          </w:tcPr>
          <w:p>
            <w:pPr>
              <w:widowControl/>
              <w:rPr>
                <w:rFonts w:ascii="宋体" w:hAnsi="宋体" w:cs="宋体"/>
                <w:sz w:val="20"/>
              </w:rPr>
            </w:pPr>
          </w:p>
        </w:tc>
        <w:tc>
          <w:tcPr>
            <w:tcW w:w="492" w:type="pct"/>
            <w:vMerge w:val="continue"/>
            <w:shd w:val="clear" w:color="auto" w:fill="auto"/>
            <w:noWrap/>
            <w:vAlign w:val="center"/>
          </w:tcPr>
          <w:p>
            <w:pPr>
              <w:widowControl/>
              <w:rPr>
                <w:rFonts w:ascii="宋体" w:hAnsi="宋体" w:cs="宋体"/>
                <w:sz w:val="20"/>
              </w:rPr>
            </w:pPr>
          </w:p>
        </w:tc>
        <w:tc>
          <w:tcPr>
            <w:tcW w:w="512" w:type="pct"/>
            <w:vMerge w:val="continue"/>
            <w:shd w:val="clear" w:color="auto" w:fill="auto"/>
            <w:vAlign w:val="center"/>
          </w:tcPr>
          <w:p>
            <w:pPr>
              <w:widowControl/>
              <w:rPr>
                <w:rFonts w:ascii="宋体" w:hAnsi="宋体" w:cs="宋体"/>
                <w:sz w:val="20"/>
              </w:rPr>
            </w:pPr>
          </w:p>
        </w:tc>
        <w:tc>
          <w:tcPr>
            <w:tcW w:w="2134" w:type="pct"/>
            <w:gridSpan w:val="8"/>
            <w:shd w:val="clear" w:color="auto" w:fill="auto"/>
            <w:vAlign w:val="center"/>
          </w:tcPr>
          <w:p>
            <w:pPr>
              <w:rPr>
                <w:rFonts w:ascii="宋体" w:hAnsi="宋体" w:cs="宋体"/>
                <w:bCs/>
                <w:sz w:val="20"/>
              </w:rPr>
            </w:pPr>
            <w:r>
              <w:rPr>
                <w:rFonts w:ascii="宋体" w:hAnsi="宋体" w:cs="宋体"/>
                <w:bCs/>
                <w:sz w:val="20"/>
              </w:rPr>
              <w:t>公共建筑：满足3项，5分；满足5项，10分；</w:t>
            </w:r>
          </w:p>
          <w:p>
            <w:pPr>
              <w:rPr>
                <w:rFonts w:ascii="宋体" w:hAnsi="宋体" w:cs="宋体"/>
                <w:bCs/>
                <w:sz w:val="20"/>
              </w:rPr>
            </w:pPr>
            <w:r>
              <w:rPr>
                <w:rFonts w:ascii="宋体" w:hAnsi="宋体" w:cs="宋体"/>
                <w:bCs/>
                <w:sz w:val="20"/>
              </w:rPr>
              <w:t>□建筑内兼容2种及以上面向社会的公共服务功能；</w:t>
            </w:r>
          </w:p>
          <w:p>
            <w:pPr>
              <w:rPr>
                <w:rFonts w:ascii="宋体" w:hAnsi="宋体" w:cs="宋体"/>
                <w:bCs/>
                <w:sz w:val="20"/>
              </w:rPr>
            </w:pPr>
            <w:r>
              <w:rPr>
                <w:rFonts w:ascii="宋体" w:hAnsi="宋体" w:cs="宋体"/>
                <w:bCs/>
                <w:sz w:val="20"/>
              </w:rPr>
              <w:t>□建筑向社会公众提供开放的公共活动空间；</w:t>
            </w:r>
          </w:p>
          <w:p>
            <w:pPr>
              <w:rPr>
                <w:rFonts w:ascii="宋体" w:hAnsi="宋体" w:cs="宋体"/>
                <w:bCs/>
                <w:sz w:val="20"/>
              </w:rPr>
            </w:pPr>
            <w:r>
              <w:rPr>
                <w:rFonts w:ascii="宋体" w:hAnsi="宋体" w:cs="宋体"/>
                <w:bCs/>
                <w:sz w:val="20"/>
              </w:rPr>
              <w:t>□电动汽车充电桩的车位数占总车位数的比例不低于10%；</w:t>
            </w:r>
          </w:p>
          <w:p>
            <w:pPr>
              <w:rPr>
                <w:rFonts w:ascii="宋体" w:hAnsi="宋体" w:cs="宋体"/>
                <w:bCs/>
                <w:sz w:val="20"/>
              </w:rPr>
            </w:pPr>
            <w:r>
              <w:rPr>
                <w:rFonts w:ascii="宋体" w:hAnsi="宋体" w:cs="宋体"/>
                <w:bCs/>
                <w:sz w:val="20"/>
              </w:rPr>
              <w:t>□周边500m范围内设有社会公共停车场（库）；</w:t>
            </w:r>
          </w:p>
          <w:p>
            <w:pPr>
              <w:rPr>
                <w:rFonts w:ascii="宋体" w:hAnsi="宋体" w:cs="宋体"/>
                <w:bCs/>
                <w:sz w:val="20"/>
              </w:rPr>
            </w:pPr>
            <w:r>
              <w:rPr>
                <w:rFonts w:ascii="宋体" w:hAnsi="宋体" w:cs="宋体"/>
                <w:bCs/>
                <w:sz w:val="20"/>
              </w:rPr>
              <w:t>□场地不封闭或场地内步行公共通道向社会开放。</w:t>
            </w:r>
          </w:p>
        </w:tc>
        <w:tc>
          <w:tcPr>
            <w:tcW w:w="391" w:type="pct"/>
            <w:vAlign w:val="center"/>
          </w:tcPr>
          <w:p>
            <w:pPr>
              <w:jc w:val="center"/>
              <w:rPr>
                <w:rFonts w:ascii="宋体" w:hAnsi="宋体" w:cs="宋体"/>
                <w:b/>
                <w:bCs/>
                <w:sz w:val="20"/>
              </w:rPr>
            </w:pPr>
            <w:r>
              <w:rPr>
                <w:rFonts w:ascii="宋体" w:hAnsi="宋体" w:cs="宋体"/>
                <w:b/>
                <w:bCs/>
                <w:sz w:val="20"/>
              </w:rPr>
              <w:t>10</w:t>
            </w:r>
          </w:p>
        </w:tc>
        <w:tc>
          <w:tcPr>
            <w:tcW w:w="375" w:type="pct"/>
            <w:vMerge w:val="continue"/>
            <w:shd w:val="clear" w:color="auto" w:fill="auto"/>
            <w:vAlign w:val="center"/>
          </w:tcPr>
          <w:p>
            <w:pPr>
              <w:widowControl/>
              <w:jc w:val="center"/>
              <w:rPr>
                <w:rFonts w:ascii="宋体" w:hAnsi="宋体" w:cs="宋体"/>
                <w:b/>
                <w:bCs/>
                <w:sz w:val="20"/>
              </w:rPr>
            </w:pPr>
          </w:p>
        </w:tc>
        <w:tc>
          <w:tcPr>
            <w:tcW w:w="455" w:type="pct"/>
            <w:vMerge w:val="continue"/>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6.2.4</w:t>
            </w:r>
          </w:p>
        </w:tc>
        <w:tc>
          <w:tcPr>
            <w:tcW w:w="814" w:type="pct"/>
            <w:gridSpan w:val="4"/>
            <w:vMerge w:val="restart"/>
            <w:shd w:val="clear" w:color="auto" w:fill="auto"/>
            <w:vAlign w:val="center"/>
          </w:tcPr>
          <w:p>
            <w:pPr>
              <w:rPr>
                <w:rFonts w:ascii="宋体" w:hAnsi="宋体" w:cs="宋体"/>
                <w:bCs/>
                <w:sz w:val="20"/>
              </w:rPr>
            </w:pPr>
            <w:r>
              <w:rPr>
                <w:rFonts w:ascii="宋体" w:hAnsi="宋体" w:cs="宋体"/>
                <w:bCs/>
                <w:sz w:val="20"/>
              </w:rPr>
              <w:t>城市绿地、广场及公共运动场地等开敞空间，步行可达。</w:t>
            </w:r>
          </w:p>
        </w:tc>
        <w:tc>
          <w:tcPr>
            <w:tcW w:w="1832" w:type="pct"/>
            <w:gridSpan w:val="5"/>
            <w:shd w:val="clear" w:color="auto" w:fill="auto"/>
            <w:vAlign w:val="center"/>
          </w:tcPr>
          <w:p>
            <w:pPr>
              <w:rPr>
                <w:rFonts w:ascii="宋体" w:hAnsi="宋体" w:cs="宋体"/>
                <w:bCs/>
                <w:sz w:val="20"/>
              </w:rPr>
            </w:pPr>
            <w:r>
              <w:rPr>
                <w:rFonts w:ascii="宋体" w:hAnsi="宋体" w:cs="宋体"/>
                <w:bCs/>
                <w:sz w:val="20"/>
              </w:rPr>
              <w:t>场地出入口到达城市公园绿地、居住区公园、广场的步行距离不超过300m。</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5</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814" w:type="pct"/>
            <w:gridSpan w:val="4"/>
            <w:vMerge w:val="continue"/>
            <w:vAlign w:val="center"/>
          </w:tcPr>
          <w:p>
            <w:pPr>
              <w:rPr>
                <w:rFonts w:ascii="宋体" w:hAnsi="宋体" w:cs="宋体"/>
                <w:bCs/>
                <w:sz w:val="20"/>
              </w:rPr>
            </w:pPr>
          </w:p>
        </w:tc>
        <w:tc>
          <w:tcPr>
            <w:tcW w:w="1832" w:type="pct"/>
            <w:gridSpan w:val="5"/>
            <w:vAlign w:val="center"/>
          </w:tcPr>
          <w:p>
            <w:pPr>
              <w:rPr>
                <w:rFonts w:ascii="宋体" w:hAnsi="宋体" w:cs="宋体"/>
                <w:bCs/>
                <w:sz w:val="20"/>
              </w:rPr>
            </w:pPr>
            <w:r>
              <w:rPr>
                <w:rFonts w:ascii="宋体" w:hAnsi="宋体" w:cs="宋体"/>
                <w:bCs/>
                <w:sz w:val="20"/>
              </w:rPr>
              <w:t>到达中型多功能运动场地的步行距离不超过500m。</w:t>
            </w:r>
          </w:p>
        </w:tc>
        <w:tc>
          <w:tcPr>
            <w:tcW w:w="391" w:type="pct"/>
            <w:vAlign w:val="center"/>
          </w:tcPr>
          <w:p>
            <w:pPr>
              <w:widowControl/>
              <w:jc w:val="center"/>
              <w:rPr>
                <w:rFonts w:ascii="宋体" w:hAnsi="宋体" w:cs="宋体"/>
                <w:b/>
                <w:bCs/>
                <w:sz w:val="20"/>
              </w:rPr>
            </w:pPr>
            <w:r>
              <w:rPr>
                <w:rFonts w:ascii="宋体" w:hAnsi="宋体" w:cs="宋体"/>
                <w:b/>
                <w:bCs/>
                <w:sz w:val="20"/>
              </w:rPr>
              <w:t>2</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shd w:val="clear" w:color="000000" w:fill="FFFFFF"/>
            <w:vAlign w:val="center"/>
          </w:tcPr>
          <w:p>
            <w:pPr>
              <w:widowControl/>
              <w:rPr>
                <w:rFonts w:ascii="宋体" w:hAnsi="宋体" w:cs="宋体"/>
                <w:sz w:val="20"/>
              </w:rPr>
            </w:pPr>
          </w:p>
        </w:tc>
        <w:tc>
          <w:tcPr>
            <w:tcW w:w="492" w:type="pct"/>
            <w:vMerge w:val="restart"/>
            <w:shd w:val="clear" w:color="000000" w:fill="FFFFFF"/>
            <w:noWrap/>
            <w:vAlign w:val="center"/>
          </w:tcPr>
          <w:p>
            <w:pPr>
              <w:widowControl/>
              <w:rPr>
                <w:rFonts w:ascii="宋体" w:hAnsi="宋体" w:cs="宋体"/>
                <w:sz w:val="20"/>
              </w:rPr>
            </w:pPr>
            <w:r>
              <w:rPr>
                <w:rFonts w:ascii="宋体" w:hAnsi="宋体" w:cs="宋体"/>
                <w:sz w:val="20"/>
              </w:rPr>
              <w:t>6.2.5</w:t>
            </w:r>
          </w:p>
        </w:tc>
        <w:tc>
          <w:tcPr>
            <w:tcW w:w="512" w:type="pct"/>
            <w:vMerge w:val="restart"/>
            <w:shd w:val="clear" w:color="000000" w:fill="FFFFFF"/>
            <w:vAlign w:val="center"/>
          </w:tcPr>
          <w:p>
            <w:pPr>
              <w:rPr>
                <w:rFonts w:ascii="宋体" w:hAnsi="宋体" w:cs="宋体"/>
                <w:b/>
                <w:bCs/>
                <w:sz w:val="20"/>
              </w:rPr>
            </w:pPr>
            <w:r>
              <w:rPr>
                <w:rFonts w:ascii="宋体" w:hAnsi="宋体" w:cs="宋体"/>
                <w:bCs/>
                <w:sz w:val="20"/>
              </w:rPr>
              <w:t>健身场地和空间</w:t>
            </w:r>
          </w:p>
        </w:tc>
        <w:tc>
          <w:tcPr>
            <w:tcW w:w="2134" w:type="pct"/>
            <w:gridSpan w:val="8"/>
            <w:shd w:val="clear" w:color="000000" w:fill="FFFFFF"/>
            <w:vAlign w:val="center"/>
          </w:tcPr>
          <w:p>
            <w:pPr>
              <w:rPr>
                <w:rFonts w:ascii="宋体" w:hAnsi="宋体" w:cs="宋体"/>
                <w:bCs/>
                <w:sz w:val="20"/>
              </w:rPr>
            </w:pPr>
            <w:r>
              <w:rPr>
                <w:rFonts w:ascii="宋体" w:hAnsi="宋体" w:cs="宋体"/>
                <w:bCs/>
                <w:sz w:val="20"/>
              </w:rPr>
              <w:t>室外健身场地面积不少于总用地面积的0.5%。</w:t>
            </w:r>
          </w:p>
        </w:tc>
        <w:tc>
          <w:tcPr>
            <w:tcW w:w="391" w:type="pct"/>
            <w:shd w:val="clear" w:color="000000" w:fill="FFFFFF"/>
            <w:vAlign w:val="center"/>
          </w:tcPr>
          <w:p>
            <w:pPr>
              <w:widowControl/>
              <w:jc w:val="center"/>
              <w:rPr>
                <w:rFonts w:ascii="宋体" w:hAnsi="宋体" w:cs="宋体"/>
                <w:b/>
                <w:bCs/>
                <w:sz w:val="20"/>
              </w:rPr>
            </w:pPr>
            <w:r>
              <w:rPr>
                <w:rFonts w:ascii="宋体" w:hAnsi="宋体" w:cs="宋体"/>
                <w:b/>
                <w:bCs/>
                <w:sz w:val="20"/>
              </w:rPr>
              <w:t>3</w:t>
            </w:r>
          </w:p>
        </w:tc>
        <w:tc>
          <w:tcPr>
            <w:tcW w:w="375" w:type="pct"/>
            <w:vMerge w:val="restart"/>
            <w:shd w:val="clear" w:color="000000" w:fill="FFFFFF"/>
            <w:vAlign w:val="center"/>
          </w:tcPr>
          <w:p>
            <w:pPr>
              <w:widowControl/>
              <w:jc w:val="center"/>
              <w:rPr>
                <w:rFonts w:ascii="宋体" w:hAnsi="宋体" w:cs="宋体"/>
                <w:b/>
                <w:bCs/>
                <w:sz w:val="20"/>
              </w:rPr>
            </w:pPr>
            <w:r>
              <w:rPr>
                <w:rFonts w:ascii="宋体" w:hAnsi="宋体" w:cs="宋体"/>
                <w:b/>
                <w:bCs/>
                <w:sz w:val="20"/>
              </w:rPr>
              <w:t>10</w:t>
            </w: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rPr>
                <w:rFonts w:ascii="宋体" w:hAnsi="宋体" w:cs="宋体"/>
                <w:bCs/>
                <w:sz w:val="20"/>
              </w:rPr>
            </w:pPr>
            <w:r>
              <w:rPr>
                <w:rFonts w:ascii="宋体" w:hAnsi="宋体" w:cs="宋体"/>
                <w:bCs/>
                <w:sz w:val="20"/>
              </w:rPr>
              <w:t>设置宽度不少于1.25m的专用健身慢行道，健身慢行道长度不少于用地红线周长的1/4且不少于100m。</w:t>
            </w:r>
          </w:p>
        </w:tc>
        <w:tc>
          <w:tcPr>
            <w:tcW w:w="391" w:type="pct"/>
            <w:vAlign w:val="center"/>
          </w:tcPr>
          <w:p>
            <w:pPr>
              <w:widowControl/>
              <w:jc w:val="center"/>
              <w:rPr>
                <w:rFonts w:ascii="宋体" w:hAnsi="宋体" w:cs="宋体"/>
                <w:b/>
                <w:bCs/>
                <w:sz w:val="20"/>
              </w:rPr>
            </w:pPr>
            <w:r>
              <w:rPr>
                <w:rFonts w:ascii="宋体" w:hAnsi="宋体" w:cs="宋体"/>
                <w:b/>
                <w:bCs/>
                <w:sz w:val="20"/>
              </w:rPr>
              <w:t>2</w:t>
            </w:r>
          </w:p>
        </w:tc>
        <w:tc>
          <w:tcPr>
            <w:tcW w:w="375" w:type="pct"/>
            <w:vMerge w:val="continue"/>
            <w:vAlign w:val="center"/>
          </w:tcPr>
          <w:p>
            <w:pPr>
              <w:widowControl/>
              <w:jc w:val="center"/>
              <w:rPr>
                <w:rFonts w:ascii="宋体" w:hAnsi="宋体" w:cs="宋体"/>
                <w:b/>
                <w:bCs/>
                <w:sz w:val="20"/>
              </w:rPr>
            </w:pP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rPr>
                <w:rFonts w:ascii="宋体" w:hAnsi="宋体" w:cs="宋体"/>
                <w:bCs/>
                <w:sz w:val="20"/>
              </w:rPr>
            </w:pPr>
            <w:r>
              <w:rPr>
                <w:rFonts w:ascii="宋体" w:hAnsi="宋体" w:cs="宋体"/>
                <w:bCs/>
                <w:sz w:val="20"/>
              </w:rPr>
              <w:t>室内健身空间的面积不少于地上建筑面积的0.3%且不少于60m²。</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continue"/>
            <w:vAlign w:val="center"/>
          </w:tcPr>
          <w:p>
            <w:pPr>
              <w:widowControl/>
              <w:jc w:val="center"/>
              <w:rPr>
                <w:rFonts w:ascii="宋体" w:hAnsi="宋体" w:cs="宋体"/>
                <w:b/>
                <w:bCs/>
                <w:sz w:val="20"/>
              </w:rPr>
            </w:pP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rPr>
                <w:rFonts w:ascii="宋体" w:hAnsi="宋体" w:cs="宋体"/>
                <w:bCs/>
                <w:sz w:val="20"/>
              </w:rPr>
            </w:pPr>
            <w:r>
              <w:rPr>
                <w:rFonts w:ascii="宋体" w:hAnsi="宋体" w:cs="宋体"/>
                <w:bCs/>
                <w:sz w:val="20"/>
              </w:rPr>
              <w:t>楼梯间具有天然采光和良好的视野，且距离主入口的距离不大于15m。</w:t>
            </w:r>
          </w:p>
        </w:tc>
        <w:tc>
          <w:tcPr>
            <w:tcW w:w="391" w:type="pct"/>
            <w:vAlign w:val="center"/>
          </w:tcPr>
          <w:p>
            <w:pPr>
              <w:widowControl/>
              <w:jc w:val="center"/>
              <w:rPr>
                <w:rFonts w:ascii="宋体" w:hAnsi="宋体" w:cs="宋体"/>
                <w:b/>
                <w:bCs/>
                <w:sz w:val="20"/>
              </w:rPr>
            </w:pPr>
            <w:r>
              <w:rPr>
                <w:rFonts w:ascii="宋体" w:hAnsi="宋体" w:cs="宋体"/>
                <w:b/>
                <w:bCs/>
                <w:sz w:val="20"/>
              </w:rPr>
              <w:t>2</w:t>
            </w:r>
          </w:p>
        </w:tc>
        <w:tc>
          <w:tcPr>
            <w:tcW w:w="375" w:type="pct"/>
            <w:vMerge w:val="continue"/>
            <w:vAlign w:val="center"/>
          </w:tcPr>
          <w:p>
            <w:pPr>
              <w:widowControl/>
              <w:jc w:val="center"/>
              <w:rPr>
                <w:rFonts w:ascii="宋体" w:hAnsi="宋体" w:cs="宋体"/>
                <w:b/>
                <w:bCs/>
                <w:sz w:val="20"/>
              </w:rPr>
            </w:pP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6.2.6</w:t>
            </w:r>
          </w:p>
        </w:tc>
        <w:tc>
          <w:tcPr>
            <w:tcW w:w="2646" w:type="pct"/>
            <w:gridSpan w:val="9"/>
            <w:shd w:val="clear" w:color="auto" w:fill="auto"/>
            <w:vAlign w:val="center"/>
          </w:tcPr>
          <w:p>
            <w:pPr>
              <w:rPr>
                <w:rFonts w:ascii="宋体" w:hAnsi="宋体" w:cs="宋体"/>
                <w:bCs/>
                <w:sz w:val="20"/>
              </w:rPr>
            </w:pPr>
            <w:r>
              <w:rPr>
                <w:rFonts w:ascii="宋体" w:hAnsi="宋体" w:cs="宋体"/>
                <w:bCs/>
                <w:sz w:val="20"/>
              </w:rPr>
              <w:t>设置分类、分级用能自动远传计量系统，且设置能源管理系统实现对建筑能耗的监测、数据分析和管理。</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Align w:val="center"/>
          </w:tcPr>
          <w:p>
            <w:pPr>
              <w:widowControl/>
              <w:jc w:val="center"/>
              <w:rPr>
                <w:rFonts w:ascii="宋体" w:hAnsi="宋体" w:cs="宋体"/>
                <w:b/>
                <w:bCs/>
                <w:sz w:val="20"/>
              </w:rPr>
            </w:pPr>
            <w:r>
              <w:rPr>
                <w:rFonts w:ascii="宋体" w:hAnsi="宋体" w:cs="宋体"/>
                <w:b/>
                <w:bCs/>
                <w:sz w:val="20"/>
              </w:rPr>
              <w:t>8</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6.2.7</w:t>
            </w:r>
          </w:p>
        </w:tc>
        <w:tc>
          <w:tcPr>
            <w:tcW w:w="2646" w:type="pct"/>
            <w:gridSpan w:val="9"/>
            <w:shd w:val="clear" w:color="auto" w:fill="auto"/>
            <w:vAlign w:val="center"/>
          </w:tcPr>
          <w:p>
            <w:pPr>
              <w:rPr>
                <w:rFonts w:ascii="宋体" w:hAnsi="宋体" w:cs="宋体"/>
                <w:bCs/>
                <w:sz w:val="20"/>
              </w:rPr>
            </w:pPr>
            <w:r>
              <w:rPr>
                <w:rFonts w:ascii="宋体" w:hAnsi="宋体" w:cs="宋体"/>
                <w:bCs/>
                <w:sz w:val="20"/>
              </w:rPr>
              <w:t>设置PM</w:t>
            </w:r>
            <w:r>
              <w:rPr>
                <w:rFonts w:ascii="宋体" w:hAnsi="宋体" w:cs="宋体"/>
                <w:bCs/>
                <w:sz w:val="20"/>
                <w:vertAlign w:val="subscript"/>
              </w:rPr>
              <w:t>10</w:t>
            </w:r>
            <w:r>
              <w:rPr>
                <w:rFonts w:ascii="宋体" w:hAnsi="宋体" w:cs="宋体"/>
                <w:bCs/>
                <w:sz w:val="20"/>
              </w:rPr>
              <w:t>、PM</w:t>
            </w:r>
            <w:r>
              <w:rPr>
                <w:rFonts w:ascii="宋体" w:hAnsi="宋体" w:cs="宋体"/>
                <w:bCs/>
                <w:sz w:val="20"/>
                <w:vertAlign w:val="subscript"/>
              </w:rPr>
              <w:t>2.5</w:t>
            </w:r>
            <w:r>
              <w:rPr>
                <w:rFonts w:ascii="宋体" w:hAnsi="宋体" w:cs="宋体"/>
                <w:bCs/>
                <w:sz w:val="20"/>
              </w:rPr>
              <w:t>、CO</w:t>
            </w:r>
            <w:r>
              <w:rPr>
                <w:rFonts w:ascii="宋体" w:hAnsi="宋体" w:cs="宋体"/>
                <w:bCs/>
                <w:sz w:val="20"/>
                <w:vertAlign w:val="subscript"/>
              </w:rPr>
              <w:t>2</w:t>
            </w:r>
            <w:r>
              <w:rPr>
                <w:rFonts w:ascii="宋体" w:hAnsi="宋体" w:cs="宋体"/>
                <w:bCs/>
                <w:sz w:val="20"/>
              </w:rPr>
              <w:t>浓度的空气质量监测系统，且具有存储至少一年的监测数据和实时显示等功能。</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Align w:val="center"/>
          </w:tcPr>
          <w:p>
            <w:pPr>
              <w:widowControl/>
              <w:jc w:val="center"/>
              <w:rPr>
                <w:rFonts w:ascii="宋体" w:hAnsi="宋体" w:cs="宋体"/>
                <w:b/>
                <w:bCs/>
                <w:sz w:val="20"/>
              </w:rPr>
            </w:pPr>
            <w:r>
              <w:rPr>
                <w:rFonts w:ascii="宋体" w:hAnsi="宋体" w:cs="宋体"/>
                <w:b/>
                <w:bCs/>
                <w:sz w:val="20"/>
              </w:rPr>
              <w:t>5</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6.2.8</w:t>
            </w:r>
          </w:p>
        </w:tc>
        <w:tc>
          <w:tcPr>
            <w:tcW w:w="512" w:type="pct"/>
            <w:vMerge w:val="restart"/>
            <w:shd w:val="clear" w:color="auto" w:fill="auto"/>
            <w:vAlign w:val="center"/>
          </w:tcPr>
          <w:p>
            <w:pPr>
              <w:rPr>
                <w:rFonts w:ascii="宋体" w:hAnsi="宋体" w:cs="宋体"/>
                <w:bCs/>
                <w:sz w:val="20"/>
              </w:rPr>
            </w:pPr>
            <w:r>
              <w:rPr>
                <w:rFonts w:ascii="宋体" w:hAnsi="宋体" w:cs="宋体"/>
                <w:bCs/>
                <w:sz w:val="20"/>
              </w:rPr>
              <w:t>设置用水远传计量系统、水质在线监测系统。</w:t>
            </w:r>
          </w:p>
        </w:tc>
        <w:tc>
          <w:tcPr>
            <w:tcW w:w="2134" w:type="pct"/>
            <w:gridSpan w:val="8"/>
            <w:shd w:val="clear" w:color="auto" w:fill="auto"/>
            <w:vAlign w:val="center"/>
          </w:tcPr>
          <w:p>
            <w:pPr>
              <w:rPr>
                <w:rFonts w:ascii="宋体" w:hAnsi="宋体" w:cs="宋体"/>
                <w:bCs/>
                <w:sz w:val="20"/>
              </w:rPr>
            </w:pPr>
            <w:r>
              <w:rPr>
                <w:rFonts w:ascii="宋体" w:hAnsi="宋体" w:cs="宋体"/>
                <w:bCs/>
                <w:sz w:val="20"/>
              </w:rPr>
              <w:t>设置用水量远传计量系统，能分类、分级记录、统计分析各种用水情况。</w:t>
            </w:r>
          </w:p>
        </w:tc>
        <w:tc>
          <w:tcPr>
            <w:tcW w:w="391" w:type="pct"/>
            <w:vAlign w:val="center"/>
          </w:tcPr>
          <w:p>
            <w:pPr>
              <w:jc w:val="center"/>
              <w:rPr>
                <w:rFonts w:ascii="宋体" w:hAnsi="宋体" w:cs="宋体"/>
                <w:b/>
                <w:bCs/>
                <w:sz w:val="20"/>
              </w:rPr>
            </w:pPr>
            <w:r>
              <w:rPr>
                <w:rFonts w:ascii="宋体" w:hAnsi="宋体" w:cs="宋体"/>
                <w:b/>
                <w:bCs/>
                <w:sz w:val="20"/>
              </w:rPr>
              <w:t>3</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7</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shd w:val="clear" w:color="auto" w:fill="auto"/>
            <w:noWrap/>
            <w:vAlign w:val="center"/>
          </w:tcPr>
          <w:p>
            <w:pPr>
              <w:widowControl/>
              <w:rPr>
                <w:rFonts w:ascii="宋体" w:hAnsi="宋体" w:cs="宋体"/>
                <w:sz w:val="20"/>
              </w:rPr>
            </w:pPr>
          </w:p>
        </w:tc>
        <w:tc>
          <w:tcPr>
            <w:tcW w:w="512" w:type="pct"/>
            <w:vMerge w:val="continue"/>
            <w:shd w:val="clear" w:color="auto" w:fill="auto"/>
            <w:vAlign w:val="center"/>
          </w:tcPr>
          <w:p>
            <w:pPr>
              <w:rPr>
                <w:rFonts w:ascii="宋体" w:hAnsi="宋体" w:cs="宋体"/>
                <w:bCs/>
                <w:sz w:val="20"/>
              </w:rPr>
            </w:pPr>
          </w:p>
        </w:tc>
        <w:tc>
          <w:tcPr>
            <w:tcW w:w="2134" w:type="pct"/>
            <w:gridSpan w:val="8"/>
            <w:shd w:val="clear" w:color="auto" w:fill="auto"/>
            <w:vAlign w:val="center"/>
          </w:tcPr>
          <w:p>
            <w:pPr>
              <w:rPr>
                <w:rFonts w:ascii="宋体" w:hAnsi="宋体" w:cs="宋体"/>
                <w:bCs/>
                <w:sz w:val="20"/>
              </w:rPr>
            </w:pPr>
            <w:r>
              <w:rPr>
                <w:rFonts w:ascii="宋体" w:hAnsi="宋体" w:cs="宋体"/>
                <w:bCs/>
                <w:sz w:val="20"/>
              </w:rPr>
              <w:t>利用计量数据进行管网漏损自动监测、分析与整改，管道漏损率低于5%。</w:t>
            </w:r>
          </w:p>
        </w:tc>
        <w:tc>
          <w:tcPr>
            <w:tcW w:w="391" w:type="pct"/>
            <w:vAlign w:val="center"/>
          </w:tcPr>
          <w:p>
            <w:pPr>
              <w:jc w:val="center"/>
              <w:rPr>
                <w:rFonts w:ascii="宋体" w:hAnsi="宋体" w:cs="宋体"/>
                <w:b/>
                <w:bCs/>
                <w:sz w:val="20"/>
              </w:rPr>
            </w:pPr>
            <w:r>
              <w:rPr>
                <w:rFonts w:ascii="宋体" w:hAnsi="宋体" w:cs="宋体"/>
                <w:b/>
                <w:bCs/>
                <w:sz w:val="20"/>
              </w:rPr>
              <w:t>2</w:t>
            </w:r>
          </w:p>
        </w:tc>
        <w:tc>
          <w:tcPr>
            <w:tcW w:w="375" w:type="pct"/>
            <w:vMerge w:val="continue"/>
            <w:shd w:val="clear" w:color="auto" w:fill="auto"/>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shd w:val="clear" w:color="auto" w:fill="auto"/>
            <w:noWrap/>
            <w:vAlign w:val="center"/>
          </w:tcPr>
          <w:p>
            <w:pPr>
              <w:widowControl/>
              <w:rPr>
                <w:rFonts w:ascii="宋体" w:hAnsi="宋体" w:cs="宋体"/>
                <w:sz w:val="20"/>
              </w:rPr>
            </w:pPr>
          </w:p>
        </w:tc>
        <w:tc>
          <w:tcPr>
            <w:tcW w:w="512" w:type="pct"/>
            <w:vMerge w:val="continue"/>
            <w:shd w:val="clear" w:color="auto" w:fill="auto"/>
            <w:vAlign w:val="center"/>
          </w:tcPr>
          <w:p>
            <w:pPr>
              <w:rPr>
                <w:rFonts w:ascii="宋体" w:hAnsi="宋体" w:cs="宋体"/>
                <w:bCs/>
                <w:sz w:val="20"/>
              </w:rPr>
            </w:pPr>
          </w:p>
        </w:tc>
        <w:tc>
          <w:tcPr>
            <w:tcW w:w="2134" w:type="pct"/>
            <w:gridSpan w:val="8"/>
            <w:shd w:val="clear" w:color="auto" w:fill="auto"/>
            <w:vAlign w:val="center"/>
          </w:tcPr>
          <w:p>
            <w:pPr>
              <w:rPr>
                <w:rFonts w:ascii="宋体" w:hAnsi="宋体" w:cs="宋体"/>
                <w:bCs/>
                <w:sz w:val="20"/>
              </w:rPr>
            </w:pPr>
            <w:r>
              <w:rPr>
                <w:rFonts w:ascii="宋体" w:hAnsi="宋体" w:cs="宋体"/>
                <w:bCs/>
                <w:sz w:val="20"/>
              </w:rPr>
              <w:t>设置水质在线监测系统，监测生活饮用水、管道直饮水、游泳池水、非传统水源、空调冷却水的水质指标，记录并保存水质监测结果，且能随时供用户查询。</w:t>
            </w:r>
          </w:p>
        </w:tc>
        <w:tc>
          <w:tcPr>
            <w:tcW w:w="391" w:type="pct"/>
            <w:vAlign w:val="center"/>
          </w:tcPr>
          <w:p>
            <w:pPr>
              <w:jc w:val="center"/>
              <w:rPr>
                <w:rFonts w:ascii="宋体" w:hAnsi="宋体" w:cs="宋体"/>
                <w:b/>
                <w:bCs/>
                <w:sz w:val="20"/>
              </w:rPr>
            </w:pPr>
            <w:r>
              <w:rPr>
                <w:rFonts w:ascii="宋体" w:hAnsi="宋体" w:cs="宋体"/>
                <w:b/>
                <w:bCs/>
                <w:sz w:val="20"/>
              </w:rPr>
              <w:t>2</w:t>
            </w:r>
          </w:p>
        </w:tc>
        <w:tc>
          <w:tcPr>
            <w:tcW w:w="375" w:type="pct"/>
            <w:vMerge w:val="continue"/>
            <w:shd w:val="clear" w:color="auto" w:fill="auto"/>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rPr>
                <w:rFonts w:ascii="宋体" w:hAnsi="宋体" w:cs="宋体"/>
                <w:sz w:val="20"/>
              </w:rPr>
            </w:pPr>
            <w:r>
              <w:rPr>
                <w:rFonts w:ascii="宋体" w:hAnsi="宋体" w:cs="宋体"/>
                <w:sz w:val="20"/>
              </w:rPr>
              <w:t>6.2.9</w:t>
            </w:r>
          </w:p>
        </w:tc>
        <w:tc>
          <w:tcPr>
            <w:tcW w:w="512" w:type="pct"/>
            <w:vMerge w:val="restart"/>
            <w:shd w:val="clear" w:color="auto" w:fill="auto"/>
            <w:vAlign w:val="center"/>
          </w:tcPr>
          <w:p>
            <w:pPr>
              <w:rPr>
                <w:rFonts w:ascii="宋体" w:hAnsi="宋体" w:cs="宋体"/>
                <w:bCs/>
                <w:sz w:val="20"/>
              </w:rPr>
            </w:pPr>
            <w:r>
              <w:rPr>
                <w:rFonts w:ascii="宋体" w:hAnsi="宋体" w:cs="宋体"/>
                <w:bCs/>
                <w:sz w:val="20"/>
              </w:rPr>
              <w:t>具有智能化服务系统。</w:t>
            </w:r>
          </w:p>
        </w:tc>
        <w:tc>
          <w:tcPr>
            <w:tcW w:w="2134" w:type="pct"/>
            <w:gridSpan w:val="8"/>
            <w:shd w:val="clear" w:color="auto" w:fill="auto"/>
            <w:vAlign w:val="center"/>
          </w:tcPr>
          <w:p>
            <w:pPr>
              <w:rPr>
                <w:rFonts w:ascii="宋体" w:hAnsi="宋体" w:cs="宋体"/>
                <w:bCs/>
                <w:sz w:val="20"/>
              </w:rPr>
            </w:pPr>
            <w:r>
              <w:rPr>
                <w:rFonts w:ascii="宋体" w:hAnsi="宋体" w:cs="宋体"/>
                <w:bCs/>
                <w:sz w:val="20"/>
              </w:rPr>
              <w:t>具有家电控制、照明控制、安全报警、环境监测、建筑设备控制、工作生活服务等3种及以上的服务功能。</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restart"/>
            <w:shd w:val="clear" w:color="000000" w:fill="FFFFFF"/>
            <w:vAlign w:val="center"/>
          </w:tcPr>
          <w:p>
            <w:pPr>
              <w:widowControl/>
              <w:jc w:val="center"/>
              <w:rPr>
                <w:rFonts w:ascii="宋体" w:hAnsi="宋体" w:cs="宋体"/>
                <w:b/>
                <w:bCs/>
                <w:sz w:val="20"/>
              </w:rPr>
            </w:pPr>
            <w:r>
              <w:rPr>
                <w:rFonts w:ascii="宋体" w:hAnsi="宋体" w:cs="宋体"/>
                <w:b/>
                <w:bCs/>
                <w:sz w:val="20"/>
              </w:rPr>
              <w:t>9</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rPr>
                <w:rFonts w:ascii="宋体" w:hAnsi="宋体" w:cs="宋体"/>
                <w:bCs/>
                <w:sz w:val="20"/>
              </w:rPr>
            </w:pPr>
          </w:p>
        </w:tc>
        <w:tc>
          <w:tcPr>
            <w:tcW w:w="2134" w:type="pct"/>
            <w:gridSpan w:val="8"/>
            <w:vAlign w:val="center"/>
          </w:tcPr>
          <w:p>
            <w:pPr>
              <w:rPr>
                <w:rFonts w:ascii="宋体" w:hAnsi="宋体" w:cs="宋体"/>
                <w:bCs/>
                <w:sz w:val="20"/>
              </w:rPr>
            </w:pPr>
            <w:r>
              <w:rPr>
                <w:rFonts w:ascii="宋体" w:hAnsi="宋体" w:cs="宋体"/>
                <w:bCs/>
                <w:sz w:val="20"/>
              </w:rPr>
              <w:t>具有远程监控的功能。</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rPr>
                <w:rFonts w:ascii="宋体" w:hAnsi="宋体" w:cs="宋体"/>
                <w:bCs/>
                <w:sz w:val="20"/>
              </w:rPr>
            </w:pPr>
          </w:p>
        </w:tc>
        <w:tc>
          <w:tcPr>
            <w:tcW w:w="2134" w:type="pct"/>
            <w:gridSpan w:val="8"/>
            <w:vAlign w:val="center"/>
          </w:tcPr>
          <w:p>
            <w:pPr>
              <w:rPr>
                <w:rFonts w:ascii="宋体" w:hAnsi="宋体" w:cs="宋体"/>
                <w:bCs/>
                <w:sz w:val="20"/>
              </w:rPr>
            </w:pPr>
            <w:r>
              <w:rPr>
                <w:rFonts w:ascii="宋体" w:hAnsi="宋体" w:cs="宋体"/>
                <w:bCs/>
                <w:sz w:val="20"/>
              </w:rPr>
              <w:t>具有接入智慧城市（城区、社区）的功能。</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restart"/>
            <w:vAlign w:val="center"/>
          </w:tcPr>
          <w:p>
            <w:pPr>
              <w:widowControl/>
              <w:rPr>
                <w:rFonts w:ascii="宋体" w:hAnsi="宋体" w:cs="宋体"/>
                <w:sz w:val="20"/>
              </w:rPr>
            </w:pPr>
            <w:r>
              <w:rPr>
                <w:rFonts w:ascii="宋体" w:hAnsi="宋体" w:cs="宋体"/>
                <w:sz w:val="20"/>
              </w:rPr>
              <w:t>节约资源</w:t>
            </w:r>
          </w:p>
        </w:tc>
        <w:tc>
          <w:tcPr>
            <w:tcW w:w="492" w:type="pct"/>
            <w:shd w:val="clear" w:color="auto" w:fill="auto"/>
            <w:noWrap/>
            <w:vAlign w:val="center"/>
          </w:tcPr>
          <w:p>
            <w:pPr>
              <w:widowControl/>
              <w:rPr>
                <w:rFonts w:ascii="宋体" w:hAnsi="宋体" w:cs="宋体"/>
                <w:sz w:val="20"/>
              </w:rPr>
            </w:pPr>
            <w:r>
              <w:rPr>
                <w:rFonts w:ascii="宋体" w:hAnsi="宋体" w:cs="宋体"/>
                <w:sz w:val="20"/>
              </w:rPr>
              <w:t>7.1.1</w:t>
            </w:r>
          </w:p>
        </w:tc>
        <w:tc>
          <w:tcPr>
            <w:tcW w:w="2646" w:type="pct"/>
            <w:gridSpan w:val="9"/>
            <w:shd w:val="clear" w:color="auto" w:fill="auto"/>
            <w:vAlign w:val="center"/>
          </w:tcPr>
          <w:p>
            <w:pPr>
              <w:rPr>
                <w:rFonts w:ascii="宋体" w:hAnsi="宋体" w:cs="宋体"/>
                <w:bCs/>
                <w:sz w:val="20"/>
              </w:rPr>
            </w:pPr>
            <w:r>
              <w:rPr>
                <w:rFonts w:ascii="宋体" w:hAnsi="宋体" w:cs="宋体"/>
                <w:bCs/>
                <w:sz w:val="20"/>
              </w:rPr>
              <w:t>应结合场地自然条件和建筑功能需求，对建筑的体形、平面布局、空间尺度、围护结构等进行节能设计，且应符合国家有关节能设计的要求。</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7.1.2</w:t>
            </w:r>
          </w:p>
        </w:tc>
        <w:tc>
          <w:tcPr>
            <w:tcW w:w="730" w:type="pct"/>
            <w:gridSpan w:val="3"/>
            <w:vMerge w:val="restart"/>
            <w:shd w:val="clear" w:color="auto" w:fill="auto"/>
            <w:vAlign w:val="center"/>
          </w:tcPr>
          <w:p>
            <w:pPr>
              <w:rPr>
                <w:rFonts w:ascii="宋体" w:hAnsi="宋体" w:cs="宋体"/>
                <w:bCs/>
                <w:sz w:val="20"/>
              </w:rPr>
            </w:pPr>
            <w:r>
              <w:rPr>
                <w:rFonts w:ascii="宋体" w:hAnsi="宋体" w:cs="宋体"/>
                <w:bCs/>
                <w:sz w:val="20"/>
              </w:rPr>
              <w:t>应采取措施降低部分负荷、部分空间使用下的供暖、空调系统能耗。</w:t>
            </w:r>
          </w:p>
        </w:tc>
        <w:tc>
          <w:tcPr>
            <w:tcW w:w="1916" w:type="pct"/>
            <w:gridSpan w:val="6"/>
            <w:shd w:val="clear" w:color="auto" w:fill="auto"/>
            <w:vAlign w:val="center"/>
          </w:tcPr>
          <w:p>
            <w:pPr>
              <w:rPr>
                <w:rFonts w:ascii="宋体" w:hAnsi="宋体" w:cs="宋体"/>
                <w:bCs/>
                <w:sz w:val="20"/>
              </w:rPr>
            </w:pPr>
            <w:r>
              <w:rPr>
                <w:rFonts w:ascii="宋体" w:hAnsi="宋体" w:cs="宋体"/>
                <w:bCs/>
                <w:sz w:val="20"/>
              </w:rPr>
              <w:t>应区分房间的朝向细分供暖、空调区域，并应对系统进行分区控制。</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730" w:type="pct"/>
            <w:gridSpan w:val="3"/>
            <w:vMerge w:val="continue"/>
            <w:vAlign w:val="center"/>
          </w:tcPr>
          <w:p>
            <w:pPr>
              <w:widowControl/>
              <w:rPr>
                <w:rFonts w:ascii="宋体" w:hAnsi="宋体" w:cs="宋体"/>
                <w:b/>
                <w:bCs/>
                <w:sz w:val="20"/>
              </w:rPr>
            </w:pPr>
          </w:p>
        </w:tc>
        <w:tc>
          <w:tcPr>
            <w:tcW w:w="1916" w:type="pct"/>
            <w:gridSpan w:val="6"/>
            <w:vAlign w:val="center"/>
          </w:tcPr>
          <w:p>
            <w:pPr>
              <w:rPr>
                <w:rFonts w:ascii="宋体" w:hAnsi="宋体" w:cs="宋体"/>
                <w:bCs/>
                <w:sz w:val="20"/>
              </w:rPr>
            </w:pPr>
            <w:r>
              <w:rPr>
                <w:rFonts w:ascii="宋体" w:hAnsi="宋体" w:cs="宋体"/>
                <w:bCs/>
                <w:sz w:val="20"/>
              </w:rPr>
              <w:t>IPLV、SCOP满足</w:t>
            </w:r>
            <w:r>
              <w:rPr>
                <w:rFonts w:ascii="宋体" w:hAnsi="宋体" w:cs="宋体"/>
                <w:sz w:val="20"/>
              </w:rPr>
              <w:t>现行国家标准</w:t>
            </w:r>
            <w:r>
              <w:rPr>
                <w:rFonts w:ascii="宋体" w:hAnsi="宋体" w:cs="宋体"/>
                <w:bCs/>
                <w:sz w:val="20"/>
              </w:rPr>
              <w:t>《公共建筑节能设计标准》GB 50189规定。</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7.1.3</w:t>
            </w:r>
          </w:p>
        </w:tc>
        <w:tc>
          <w:tcPr>
            <w:tcW w:w="2646" w:type="pct"/>
            <w:gridSpan w:val="9"/>
            <w:shd w:val="clear" w:color="auto" w:fill="auto"/>
            <w:vAlign w:val="center"/>
          </w:tcPr>
          <w:p>
            <w:pPr>
              <w:widowControl/>
              <w:rPr>
                <w:rFonts w:ascii="宋体" w:hAnsi="宋体" w:cs="宋体"/>
                <w:b/>
                <w:bCs/>
                <w:sz w:val="20"/>
              </w:rPr>
            </w:pPr>
            <w:r>
              <w:rPr>
                <w:rFonts w:ascii="宋体" w:hAnsi="宋体" w:cs="宋体"/>
                <w:sz w:val="20"/>
              </w:rPr>
              <w:t>应根据建筑空间功能设置分区温度，合理降低室内过渡区空间的温度设定标准。</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7.1.4</w:t>
            </w:r>
          </w:p>
        </w:tc>
        <w:tc>
          <w:tcPr>
            <w:tcW w:w="2646" w:type="pct"/>
            <w:gridSpan w:val="9"/>
            <w:shd w:val="clear" w:color="auto" w:fill="auto"/>
            <w:vAlign w:val="center"/>
          </w:tcPr>
          <w:p>
            <w:pPr>
              <w:widowControl/>
              <w:rPr>
                <w:rFonts w:ascii="宋体" w:hAnsi="宋体" w:cs="宋体"/>
                <w:bCs/>
                <w:sz w:val="20"/>
              </w:rPr>
            </w:pPr>
            <w:r>
              <w:rPr>
                <w:rFonts w:ascii="宋体" w:hAnsi="宋体" w:cs="宋体"/>
                <w:sz w:val="20"/>
              </w:rPr>
              <w:t>主要功能房间的照明功率密度值不应高于现行国家标准《建筑照明设计标准》GB 50034规定的现行值；公共区域的照明系统应采用分区、定时、感应等节能控制；采光区域的照明控制应独立于其他区域的照明控制。</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7.1.5</w:t>
            </w:r>
          </w:p>
        </w:tc>
        <w:tc>
          <w:tcPr>
            <w:tcW w:w="2646" w:type="pct"/>
            <w:gridSpan w:val="9"/>
            <w:shd w:val="clear" w:color="auto" w:fill="auto"/>
            <w:vAlign w:val="center"/>
          </w:tcPr>
          <w:p>
            <w:pPr>
              <w:widowControl/>
              <w:rPr>
                <w:rFonts w:ascii="宋体" w:hAnsi="宋体" w:cs="宋体"/>
                <w:bCs/>
                <w:sz w:val="20"/>
              </w:rPr>
            </w:pPr>
            <w:r>
              <w:rPr>
                <w:rFonts w:ascii="宋体" w:hAnsi="宋体" w:cs="宋体"/>
                <w:sz w:val="20"/>
              </w:rPr>
              <w:t>冷热源、输配系统和照明等各部分能耗应进行独立分项计量。</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7.1.6</w:t>
            </w:r>
          </w:p>
        </w:tc>
        <w:tc>
          <w:tcPr>
            <w:tcW w:w="2646" w:type="pct"/>
            <w:gridSpan w:val="9"/>
            <w:shd w:val="clear" w:color="auto" w:fill="auto"/>
            <w:vAlign w:val="center"/>
          </w:tcPr>
          <w:p>
            <w:pPr>
              <w:widowControl/>
              <w:rPr>
                <w:rFonts w:ascii="宋体" w:hAnsi="宋体" w:cs="宋体"/>
                <w:bCs/>
                <w:sz w:val="20"/>
              </w:rPr>
            </w:pPr>
            <w:r>
              <w:rPr>
                <w:rFonts w:ascii="宋体" w:hAnsi="宋体" w:cs="宋体"/>
                <w:sz w:val="20"/>
              </w:rPr>
              <w:t>垂直电梯应采取群控、变频调速或能量反馈等节能措施；自动扶梯应采用变频感应启动等节能控制措施。</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7.1.7</w:t>
            </w:r>
          </w:p>
        </w:tc>
        <w:tc>
          <w:tcPr>
            <w:tcW w:w="512" w:type="pct"/>
            <w:vMerge w:val="restart"/>
            <w:shd w:val="clear" w:color="auto" w:fill="auto"/>
            <w:vAlign w:val="center"/>
          </w:tcPr>
          <w:p>
            <w:pPr>
              <w:widowControl/>
              <w:rPr>
                <w:rFonts w:ascii="宋体" w:hAnsi="宋体" w:cs="宋体"/>
                <w:bCs/>
                <w:sz w:val="20"/>
              </w:rPr>
            </w:pPr>
            <w:r>
              <w:rPr>
                <w:rFonts w:ascii="宋体" w:hAnsi="宋体" w:cs="宋体"/>
                <w:sz w:val="20"/>
              </w:rPr>
              <w:t>应制定水资源利用方案，统筹利用各种水资源。</w:t>
            </w:r>
          </w:p>
        </w:tc>
        <w:tc>
          <w:tcPr>
            <w:tcW w:w="2134" w:type="pct"/>
            <w:gridSpan w:val="8"/>
            <w:shd w:val="clear" w:color="auto" w:fill="auto"/>
            <w:vAlign w:val="center"/>
          </w:tcPr>
          <w:p>
            <w:pPr>
              <w:widowControl/>
              <w:rPr>
                <w:rFonts w:ascii="宋体" w:hAnsi="宋体" w:cs="宋体"/>
                <w:bCs/>
                <w:sz w:val="20"/>
              </w:rPr>
            </w:pPr>
            <w:r>
              <w:rPr>
                <w:rFonts w:ascii="宋体" w:hAnsi="宋体" w:cs="宋体"/>
                <w:bCs/>
                <w:sz w:val="20"/>
              </w:rPr>
              <w:t>应按使用用途、付费或管理单元，分别设置用水计量装置；</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widowControl/>
              <w:rPr>
                <w:rFonts w:ascii="宋体" w:hAnsi="宋体" w:cs="宋体"/>
                <w:bCs/>
                <w:sz w:val="20"/>
              </w:rPr>
            </w:pPr>
            <w:r>
              <w:rPr>
                <w:rFonts w:ascii="宋体" w:hAnsi="宋体" w:cs="宋体"/>
                <w:bCs/>
                <w:sz w:val="20"/>
              </w:rPr>
              <w:t>用水点处水压大于0.2Mpa的配水支管应设置减压设施，并应满足给水配件的最小工作压力的要求；</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widowControl/>
              <w:rPr>
                <w:rFonts w:ascii="宋体" w:hAnsi="宋体" w:cs="宋体"/>
                <w:bCs/>
                <w:sz w:val="20"/>
              </w:rPr>
            </w:pPr>
            <w:r>
              <w:rPr>
                <w:rFonts w:ascii="宋体" w:hAnsi="宋体" w:cs="宋体"/>
                <w:bCs/>
                <w:sz w:val="20"/>
              </w:rPr>
              <w:t>用水器具和设备应满足节水产品的要求。</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7.1.8</w:t>
            </w:r>
          </w:p>
        </w:tc>
        <w:tc>
          <w:tcPr>
            <w:tcW w:w="2646" w:type="pct"/>
            <w:gridSpan w:val="9"/>
            <w:shd w:val="clear" w:color="auto" w:fill="auto"/>
            <w:vAlign w:val="center"/>
          </w:tcPr>
          <w:p>
            <w:pPr>
              <w:widowControl/>
              <w:rPr>
                <w:rFonts w:ascii="宋体" w:hAnsi="宋体" w:cs="宋体"/>
                <w:bCs/>
                <w:sz w:val="20"/>
              </w:rPr>
            </w:pPr>
            <w:r>
              <w:rPr>
                <w:rFonts w:ascii="宋体" w:hAnsi="宋体" w:cs="宋体"/>
                <w:sz w:val="20"/>
              </w:rPr>
              <w:t>不应采用建筑形体和布置严重不规则的建筑结构。</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7.1.9</w:t>
            </w:r>
          </w:p>
        </w:tc>
        <w:tc>
          <w:tcPr>
            <w:tcW w:w="512" w:type="pct"/>
            <w:vMerge w:val="restart"/>
            <w:shd w:val="clear" w:color="auto" w:fill="auto"/>
            <w:vAlign w:val="center"/>
          </w:tcPr>
          <w:p>
            <w:pPr>
              <w:widowControl/>
              <w:rPr>
                <w:rFonts w:ascii="宋体" w:hAnsi="宋体" w:cs="宋体"/>
                <w:b/>
                <w:bCs/>
                <w:sz w:val="20"/>
              </w:rPr>
            </w:pPr>
            <w:r>
              <w:rPr>
                <w:rFonts w:ascii="宋体" w:hAnsi="宋体" w:cs="宋体"/>
                <w:bCs/>
                <w:sz w:val="20"/>
              </w:rPr>
              <w:t>建筑造型要素应简约，且无大量装饰性构件。</w:t>
            </w:r>
          </w:p>
        </w:tc>
        <w:tc>
          <w:tcPr>
            <w:tcW w:w="2134" w:type="pct"/>
            <w:gridSpan w:val="8"/>
            <w:shd w:val="clear" w:color="auto" w:fill="auto"/>
            <w:vAlign w:val="center"/>
          </w:tcPr>
          <w:p>
            <w:pPr>
              <w:widowControl/>
              <w:rPr>
                <w:rFonts w:ascii="宋体" w:hAnsi="宋体" w:cs="宋体"/>
                <w:bCs/>
                <w:sz w:val="20"/>
              </w:rPr>
            </w:pPr>
            <w:r>
              <w:rPr>
                <w:rFonts w:ascii="宋体" w:hAnsi="宋体" w:cs="宋体"/>
                <w:bCs/>
                <w:sz w:val="20"/>
              </w:rPr>
              <w:t>住宅建筑的装饰性构件造价占建筑总造价的比例不应大于2%；</w:t>
            </w:r>
          </w:p>
        </w:tc>
        <w:tc>
          <w:tcPr>
            <w:tcW w:w="766" w:type="pct"/>
            <w:gridSpan w:val="2"/>
            <w:vMerge w:val="restart"/>
            <w:vAlign w:val="center"/>
          </w:tcPr>
          <w:p>
            <w:pPr>
              <w:jc w:val="center"/>
              <w:rPr>
                <w:rFonts w:ascii="宋体" w:hAnsi="宋体" w:cs="宋体"/>
                <w:b/>
                <w:bCs/>
                <w:sz w:val="20"/>
              </w:rPr>
            </w:pPr>
            <w:r>
              <w:rPr>
                <w:rFonts w:ascii="宋体" w:hAnsi="宋体" w:cs="宋体"/>
                <w:b/>
                <w:bCs/>
                <w:sz w:val="20"/>
              </w:rPr>
              <w:t>控制项</w:t>
            </w:r>
          </w:p>
        </w:tc>
        <w:tc>
          <w:tcPr>
            <w:tcW w:w="455" w:type="pct"/>
            <w:vMerge w:val="restar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vMerge w:val="restar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55" w:type="pct"/>
            <w:vMerge w:val="continue"/>
            <w:vAlign w:val="center"/>
          </w:tcPr>
          <w:p>
            <w:pPr>
              <w:widowControl/>
              <w:rPr>
                <w:rFonts w:ascii="宋体" w:hAnsi="宋体" w:cs="宋体"/>
                <w:sz w:val="20"/>
              </w:rPr>
            </w:pPr>
          </w:p>
        </w:tc>
        <w:tc>
          <w:tcPr>
            <w:tcW w:w="492" w:type="pct"/>
            <w:vMerge w:val="continue"/>
            <w:shd w:val="clear" w:color="auto" w:fill="auto"/>
            <w:noWrap/>
            <w:vAlign w:val="center"/>
          </w:tcPr>
          <w:p>
            <w:pPr>
              <w:widowControl/>
              <w:rPr>
                <w:rFonts w:ascii="宋体" w:hAnsi="宋体" w:cs="宋体"/>
                <w:sz w:val="20"/>
              </w:rPr>
            </w:pPr>
          </w:p>
        </w:tc>
        <w:tc>
          <w:tcPr>
            <w:tcW w:w="512" w:type="pct"/>
            <w:vMerge w:val="continue"/>
            <w:shd w:val="clear" w:color="auto" w:fill="auto"/>
            <w:vAlign w:val="center"/>
          </w:tcPr>
          <w:p>
            <w:pPr>
              <w:widowControl/>
              <w:rPr>
                <w:rFonts w:ascii="宋体" w:hAnsi="宋体" w:cs="宋体"/>
                <w:bCs/>
                <w:sz w:val="20"/>
              </w:rPr>
            </w:pPr>
          </w:p>
        </w:tc>
        <w:tc>
          <w:tcPr>
            <w:tcW w:w="2134" w:type="pct"/>
            <w:gridSpan w:val="8"/>
            <w:shd w:val="clear" w:color="auto" w:fill="auto"/>
            <w:vAlign w:val="center"/>
          </w:tcPr>
          <w:p>
            <w:pPr>
              <w:widowControl/>
              <w:rPr>
                <w:rFonts w:ascii="宋体" w:hAnsi="宋体" w:cs="宋体"/>
                <w:bCs/>
                <w:sz w:val="20"/>
              </w:rPr>
            </w:pPr>
            <w:r>
              <w:rPr>
                <w:rFonts w:ascii="宋体" w:hAnsi="宋体" w:cs="宋体"/>
                <w:bCs/>
                <w:sz w:val="20"/>
              </w:rPr>
              <w:t>公共建筑的装饰性构件造价占建筑总造价的比例不应大于1%。</w:t>
            </w:r>
          </w:p>
        </w:tc>
        <w:tc>
          <w:tcPr>
            <w:tcW w:w="766" w:type="pct"/>
            <w:gridSpan w:val="2"/>
            <w:vMerge w:val="continue"/>
            <w:vAlign w:val="center"/>
          </w:tcPr>
          <w:p>
            <w:pPr>
              <w:jc w:val="center"/>
              <w:rPr>
                <w:rFonts w:ascii="宋体" w:hAnsi="宋体" w:cs="宋体"/>
                <w:b/>
                <w:bCs/>
                <w:sz w:val="20"/>
              </w:rPr>
            </w:pPr>
          </w:p>
        </w:tc>
        <w:tc>
          <w:tcPr>
            <w:tcW w:w="455" w:type="pct"/>
            <w:vMerge w:val="continue"/>
            <w:vAlign w:val="center"/>
          </w:tcPr>
          <w:p>
            <w:pPr>
              <w:widowControl/>
              <w:ind w:left="-63" w:leftChars="-30" w:right="-105" w:rightChars="-50"/>
              <w:rPr>
                <w:rFonts w:ascii="宋体" w:hAnsi="宋体" w:cs="宋体"/>
                <w:szCs w:val="21"/>
              </w:rPr>
            </w:pPr>
          </w:p>
        </w:tc>
        <w:tc>
          <w:tcPr>
            <w:tcW w:w="386" w:type="pct"/>
            <w:vMerge w:val="continue"/>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7.1.10</w:t>
            </w:r>
          </w:p>
        </w:tc>
        <w:tc>
          <w:tcPr>
            <w:tcW w:w="512" w:type="pct"/>
            <w:vMerge w:val="restart"/>
            <w:shd w:val="clear" w:color="auto" w:fill="auto"/>
            <w:vAlign w:val="center"/>
          </w:tcPr>
          <w:p>
            <w:pPr>
              <w:widowControl/>
              <w:rPr>
                <w:rFonts w:ascii="宋体" w:hAnsi="宋体" w:cs="宋体"/>
                <w:bCs/>
                <w:sz w:val="20"/>
              </w:rPr>
            </w:pPr>
            <w:r>
              <w:rPr>
                <w:rFonts w:ascii="宋体" w:hAnsi="宋体" w:cs="宋体"/>
                <w:bCs/>
                <w:sz w:val="20"/>
              </w:rPr>
              <w:t>建筑材料选用</w:t>
            </w:r>
          </w:p>
        </w:tc>
        <w:tc>
          <w:tcPr>
            <w:tcW w:w="2134" w:type="pct"/>
            <w:gridSpan w:val="8"/>
            <w:shd w:val="clear" w:color="auto" w:fill="auto"/>
            <w:vAlign w:val="center"/>
          </w:tcPr>
          <w:p>
            <w:pPr>
              <w:rPr>
                <w:rFonts w:ascii="宋体" w:hAnsi="宋体" w:cs="宋体"/>
                <w:sz w:val="20"/>
              </w:rPr>
            </w:pPr>
            <w:r>
              <w:rPr>
                <w:rFonts w:ascii="宋体" w:hAnsi="宋体" w:cs="宋体"/>
                <w:sz w:val="20"/>
              </w:rPr>
              <w:t>500km以内生产的建筑材料使用量占建筑材料总重量的比例应大于60%。</w:t>
            </w:r>
          </w:p>
        </w:tc>
        <w:tc>
          <w:tcPr>
            <w:tcW w:w="766" w:type="pct"/>
            <w:gridSpan w:val="2"/>
            <w:vMerge w:val="restart"/>
            <w:vAlign w:val="center"/>
          </w:tcPr>
          <w:p>
            <w:pPr>
              <w:widowControl/>
              <w:jc w:val="center"/>
              <w:rPr>
                <w:rFonts w:ascii="宋体" w:hAnsi="宋体" w:cs="宋体"/>
                <w:b/>
                <w:bCs/>
                <w:sz w:val="20"/>
              </w:rPr>
            </w:pPr>
            <w:r>
              <w:rPr>
                <w:rFonts w:ascii="宋体" w:hAnsi="宋体" w:cs="宋体"/>
                <w:b/>
                <w:bCs/>
                <w:sz w:val="20"/>
              </w:rPr>
              <w:t>控制项</w:t>
            </w:r>
          </w:p>
        </w:tc>
        <w:tc>
          <w:tcPr>
            <w:tcW w:w="455" w:type="pct"/>
            <w:vMerge w:val="restar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vMerge w:val="restar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
                <w:bCs/>
                <w:sz w:val="20"/>
              </w:rPr>
            </w:pPr>
          </w:p>
        </w:tc>
        <w:tc>
          <w:tcPr>
            <w:tcW w:w="2134" w:type="pct"/>
            <w:gridSpan w:val="8"/>
            <w:vAlign w:val="center"/>
          </w:tcPr>
          <w:p>
            <w:pPr>
              <w:rPr>
                <w:rFonts w:ascii="宋体" w:hAnsi="宋体" w:cs="宋体"/>
                <w:sz w:val="20"/>
              </w:rPr>
            </w:pPr>
            <w:r>
              <w:rPr>
                <w:rFonts w:ascii="宋体" w:hAnsi="宋体" w:cs="宋体"/>
                <w:sz w:val="20"/>
              </w:rPr>
              <w:t>现浇混凝土应采用预拌混凝土，建筑砂浆应采用预拌砂浆。</w:t>
            </w:r>
          </w:p>
        </w:tc>
        <w:tc>
          <w:tcPr>
            <w:tcW w:w="766" w:type="pct"/>
            <w:gridSpan w:val="2"/>
            <w:vMerge w:val="continue"/>
            <w:vAlign w:val="center"/>
          </w:tcPr>
          <w:p>
            <w:pPr>
              <w:widowControl/>
              <w:jc w:val="center"/>
              <w:rPr>
                <w:rFonts w:ascii="宋体" w:hAnsi="宋体" w:cs="宋体"/>
                <w:b/>
                <w:bCs/>
                <w:sz w:val="20"/>
              </w:rPr>
            </w:pPr>
          </w:p>
        </w:tc>
        <w:tc>
          <w:tcPr>
            <w:tcW w:w="455" w:type="pct"/>
            <w:vMerge w:val="continue"/>
            <w:vAlign w:val="center"/>
          </w:tcPr>
          <w:p>
            <w:pPr>
              <w:widowControl/>
              <w:rPr>
                <w:rFonts w:ascii="宋体" w:hAnsi="宋体" w:cs="宋体"/>
                <w:b/>
                <w:bCs/>
                <w:sz w:val="20"/>
              </w:rPr>
            </w:pPr>
          </w:p>
        </w:tc>
        <w:tc>
          <w:tcPr>
            <w:tcW w:w="386" w:type="pct"/>
            <w:vMerge w:val="continue"/>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7.2.1</w:t>
            </w:r>
          </w:p>
        </w:tc>
        <w:tc>
          <w:tcPr>
            <w:tcW w:w="512" w:type="pct"/>
            <w:vMerge w:val="restart"/>
            <w:shd w:val="clear" w:color="auto" w:fill="auto"/>
            <w:vAlign w:val="center"/>
          </w:tcPr>
          <w:p>
            <w:pPr>
              <w:widowControl/>
              <w:rPr>
                <w:rFonts w:ascii="宋体" w:hAnsi="宋体" w:cs="宋体"/>
                <w:bCs/>
                <w:sz w:val="20"/>
              </w:rPr>
            </w:pPr>
            <w:r>
              <w:rPr>
                <w:rFonts w:ascii="宋体" w:hAnsi="宋体" w:cs="宋体"/>
                <w:bCs/>
                <w:sz w:val="20"/>
              </w:rPr>
              <w:t>节约集约利用土地</w:t>
            </w:r>
          </w:p>
        </w:tc>
        <w:tc>
          <w:tcPr>
            <w:tcW w:w="2134" w:type="pct"/>
            <w:gridSpan w:val="8"/>
            <w:shd w:val="clear" w:color="auto" w:fill="auto"/>
            <w:vAlign w:val="center"/>
          </w:tcPr>
          <w:p>
            <w:pPr>
              <w:widowControl/>
              <w:rPr>
                <w:rFonts w:ascii="宋体" w:hAnsi="宋体" w:cs="宋体"/>
                <w:bCs/>
                <w:sz w:val="20"/>
              </w:rPr>
            </w:pPr>
            <w:r>
              <w:rPr>
                <w:rFonts w:ascii="宋体" w:hAnsi="宋体" w:cs="宋体"/>
                <w:bCs/>
                <w:sz w:val="20"/>
              </w:rPr>
              <w:t>住宅建筑根据其所在居住街坊人均住宅用地规则评定。</w:t>
            </w:r>
          </w:p>
        </w:tc>
        <w:tc>
          <w:tcPr>
            <w:tcW w:w="391" w:type="pct"/>
            <w:vAlign w:val="center"/>
          </w:tcPr>
          <w:p>
            <w:pPr>
              <w:widowControl/>
              <w:jc w:val="center"/>
              <w:rPr>
                <w:rFonts w:ascii="宋体" w:hAnsi="宋体" w:cs="宋体"/>
                <w:b/>
                <w:bCs/>
                <w:sz w:val="20"/>
              </w:rPr>
            </w:pPr>
            <w:r>
              <w:rPr>
                <w:rFonts w:ascii="宋体" w:hAnsi="宋体" w:cs="宋体"/>
                <w:b/>
                <w:bCs/>
                <w:sz w:val="20"/>
              </w:rPr>
              <w:t>20</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20</w:t>
            </w:r>
          </w:p>
        </w:tc>
        <w:tc>
          <w:tcPr>
            <w:tcW w:w="455" w:type="pct"/>
            <w:vMerge w:val="restar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5" w:type="pct"/>
            <w:vMerge w:val="continue"/>
            <w:vAlign w:val="center"/>
          </w:tcPr>
          <w:p>
            <w:pPr>
              <w:widowControl/>
              <w:rPr>
                <w:rFonts w:ascii="宋体" w:hAnsi="宋体" w:cs="宋体"/>
                <w:sz w:val="20"/>
              </w:rPr>
            </w:pPr>
          </w:p>
        </w:tc>
        <w:tc>
          <w:tcPr>
            <w:tcW w:w="492" w:type="pct"/>
            <w:vMerge w:val="continue"/>
            <w:shd w:val="clear" w:color="auto" w:fill="auto"/>
            <w:noWrap/>
            <w:vAlign w:val="center"/>
          </w:tcPr>
          <w:p>
            <w:pPr>
              <w:widowControl/>
              <w:rPr>
                <w:rFonts w:ascii="宋体" w:hAnsi="宋体" w:cs="宋体"/>
                <w:sz w:val="20"/>
              </w:rPr>
            </w:pPr>
          </w:p>
        </w:tc>
        <w:tc>
          <w:tcPr>
            <w:tcW w:w="512" w:type="pct"/>
            <w:vMerge w:val="continue"/>
            <w:shd w:val="clear" w:color="auto" w:fill="auto"/>
            <w:vAlign w:val="center"/>
          </w:tcPr>
          <w:p>
            <w:pPr>
              <w:widowControl/>
              <w:rPr>
                <w:rFonts w:ascii="宋体" w:hAnsi="宋体" w:cs="宋体"/>
                <w:bCs/>
                <w:sz w:val="20"/>
              </w:rPr>
            </w:pPr>
          </w:p>
        </w:tc>
        <w:tc>
          <w:tcPr>
            <w:tcW w:w="2134" w:type="pct"/>
            <w:gridSpan w:val="8"/>
            <w:shd w:val="clear" w:color="auto" w:fill="auto"/>
            <w:vAlign w:val="center"/>
          </w:tcPr>
          <w:p>
            <w:pPr>
              <w:widowControl/>
              <w:rPr>
                <w:rFonts w:ascii="宋体" w:hAnsi="宋体" w:cs="宋体"/>
                <w:bCs/>
                <w:sz w:val="20"/>
              </w:rPr>
            </w:pPr>
            <w:r>
              <w:rPr>
                <w:rFonts w:ascii="宋体" w:hAnsi="宋体" w:cs="宋体"/>
                <w:bCs/>
                <w:sz w:val="20"/>
              </w:rPr>
              <w:t>公共建筑根据不同功能建筑的容积率规则评定。</w:t>
            </w:r>
          </w:p>
        </w:tc>
        <w:tc>
          <w:tcPr>
            <w:tcW w:w="391" w:type="pct"/>
            <w:vAlign w:val="center"/>
          </w:tcPr>
          <w:p>
            <w:pPr>
              <w:jc w:val="center"/>
              <w:rPr>
                <w:rFonts w:ascii="宋体" w:hAnsi="宋体" w:cs="宋体"/>
                <w:b/>
                <w:bCs/>
                <w:sz w:val="20"/>
              </w:rPr>
            </w:pPr>
            <w:r>
              <w:rPr>
                <w:rFonts w:ascii="宋体" w:hAnsi="宋体" w:cs="宋体"/>
                <w:b/>
                <w:bCs/>
                <w:sz w:val="20"/>
              </w:rPr>
              <w:t>20</w:t>
            </w:r>
          </w:p>
        </w:tc>
        <w:tc>
          <w:tcPr>
            <w:tcW w:w="375" w:type="pct"/>
            <w:vMerge w:val="continue"/>
            <w:shd w:val="clear" w:color="auto" w:fill="auto"/>
            <w:vAlign w:val="center"/>
          </w:tcPr>
          <w:p>
            <w:pPr>
              <w:widowControl/>
              <w:jc w:val="center"/>
              <w:rPr>
                <w:rFonts w:ascii="宋体" w:hAnsi="宋体" w:cs="宋体"/>
                <w:b/>
                <w:bCs/>
                <w:sz w:val="20"/>
              </w:rPr>
            </w:pPr>
          </w:p>
        </w:tc>
        <w:tc>
          <w:tcPr>
            <w:tcW w:w="455" w:type="pct"/>
            <w:vMerge w:val="continue"/>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55" w:type="pct"/>
            <w:vMerge w:val="continue"/>
            <w:shd w:val="clear" w:color="000000" w:fill="FFFFFF"/>
            <w:vAlign w:val="center"/>
          </w:tcPr>
          <w:p>
            <w:pPr>
              <w:widowControl/>
              <w:rPr>
                <w:rFonts w:ascii="宋体" w:hAnsi="宋体" w:cs="宋体"/>
                <w:sz w:val="20"/>
              </w:rPr>
            </w:pPr>
          </w:p>
        </w:tc>
        <w:tc>
          <w:tcPr>
            <w:tcW w:w="492" w:type="pct"/>
            <w:vMerge w:val="restart"/>
            <w:shd w:val="clear" w:color="000000" w:fill="FFFFFF"/>
            <w:noWrap/>
            <w:vAlign w:val="center"/>
          </w:tcPr>
          <w:p>
            <w:pPr>
              <w:widowControl/>
              <w:rPr>
                <w:rFonts w:ascii="宋体" w:hAnsi="宋体" w:cs="宋体"/>
                <w:sz w:val="20"/>
              </w:rPr>
            </w:pPr>
            <w:r>
              <w:rPr>
                <w:rFonts w:ascii="宋体" w:hAnsi="宋体" w:cs="宋体"/>
                <w:sz w:val="20"/>
              </w:rPr>
              <w:t>7.2.2</w:t>
            </w:r>
          </w:p>
        </w:tc>
        <w:tc>
          <w:tcPr>
            <w:tcW w:w="512" w:type="pct"/>
            <w:vMerge w:val="restart"/>
            <w:shd w:val="clear" w:color="000000" w:fill="FFFFFF"/>
            <w:vAlign w:val="center"/>
          </w:tcPr>
          <w:p>
            <w:pPr>
              <w:widowControl/>
              <w:rPr>
                <w:rFonts w:ascii="宋体" w:hAnsi="宋体" w:cs="宋体"/>
                <w:bCs/>
                <w:sz w:val="20"/>
              </w:rPr>
            </w:pPr>
            <w:r>
              <w:rPr>
                <w:rFonts w:ascii="宋体" w:hAnsi="宋体" w:cs="宋体"/>
                <w:bCs/>
                <w:sz w:val="20"/>
              </w:rPr>
              <w:t>合理开发利用地下空间</w:t>
            </w:r>
          </w:p>
        </w:tc>
        <w:tc>
          <w:tcPr>
            <w:tcW w:w="2134" w:type="pct"/>
            <w:gridSpan w:val="8"/>
            <w:shd w:val="clear" w:color="000000" w:fill="FFFFFF"/>
            <w:vAlign w:val="center"/>
          </w:tcPr>
          <w:p>
            <w:pPr>
              <w:rPr>
                <w:rFonts w:ascii="宋体" w:hAnsi="宋体" w:cs="宋体"/>
                <w:sz w:val="20"/>
              </w:rPr>
            </w:pPr>
            <w:r>
              <w:rPr>
                <w:rFonts w:ascii="宋体" w:hAnsi="宋体" w:cs="宋体"/>
                <w:sz w:val="20"/>
              </w:rPr>
              <w:t>住宅建筑地下建筑面积与地上建筑面积的比率</w:t>
            </w:r>
            <w:r>
              <w:rPr>
                <w:rFonts w:ascii="宋体" w:hAnsi="宋体" w:cs="宋体"/>
                <w:iCs/>
                <w:sz w:val="20"/>
              </w:rPr>
              <w:t>R</w:t>
            </w:r>
            <w:r>
              <w:rPr>
                <w:rFonts w:ascii="宋体" w:hAnsi="宋体" w:cs="宋体"/>
                <w:sz w:val="20"/>
              </w:rPr>
              <w:t>r，地下一层建筑面积与总用地面积的比率</w:t>
            </w:r>
            <w:r>
              <w:rPr>
                <w:rFonts w:ascii="宋体" w:hAnsi="宋体" w:cs="宋体"/>
                <w:iCs/>
                <w:sz w:val="20"/>
              </w:rPr>
              <w:t>R</w:t>
            </w:r>
            <w:r>
              <w:rPr>
                <w:rFonts w:ascii="宋体" w:hAnsi="宋体" w:cs="宋体"/>
                <w:sz w:val="20"/>
              </w:rPr>
              <w:t>p：</w:t>
            </w:r>
          </w:p>
          <w:p>
            <w:pPr>
              <w:rPr>
                <w:rFonts w:ascii="宋体" w:hAnsi="宋体" w:cs="宋体"/>
                <w:sz w:val="20"/>
              </w:rPr>
            </w:pPr>
            <w:r>
              <w:rPr>
                <w:rFonts w:ascii="宋体" w:hAnsi="宋体" w:cs="宋体"/>
                <w:sz w:val="20"/>
              </w:rPr>
              <w:t>5%≤</w:t>
            </w:r>
            <w:r>
              <w:rPr>
                <w:rFonts w:ascii="宋体" w:hAnsi="宋体" w:cs="宋体"/>
                <w:iCs/>
                <w:sz w:val="20"/>
              </w:rPr>
              <w:t>R</w:t>
            </w:r>
            <w:r>
              <w:rPr>
                <w:rFonts w:ascii="宋体" w:hAnsi="宋体" w:cs="宋体"/>
                <w:sz w:val="20"/>
              </w:rPr>
              <w:t>r＜20%，得5分；</w:t>
            </w:r>
          </w:p>
          <w:p>
            <w:pPr>
              <w:rPr>
                <w:rFonts w:ascii="宋体" w:hAnsi="宋体" w:cs="宋体"/>
                <w:sz w:val="20"/>
              </w:rPr>
            </w:pPr>
            <w:r>
              <w:rPr>
                <w:rFonts w:ascii="宋体" w:hAnsi="宋体" w:cs="宋体"/>
                <w:iCs/>
                <w:sz w:val="20"/>
              </w:rPr>
              <w:t>R</w:t>
            </w:r>
            <w:r>
              <w:rPr>
                <w:rFonts w:ascii="宋体" w:hAnsi="宋体" w:cs="宋体"/>
                <w:sz w:val="20"/>
              </w:rPr>
              <w:t>r≥20%，得7分；</w:t>
            </w:r>
          </w:p>
          <w:p>
            <w:pPr>
              <w:rPr>
                <w:rFonts w:ascii="宋体" w:hAnsi="宋体" w:cs="宋体"/>
                <w:bCs/>
                <w:sz w:val="20"/>
              </w:rPr>
            </w:pPr>
            <w:r>
              <w:rPr>
                <w:rFonts w:ascii="宋体" w:hAnsi="宋体" w:cs="宋体"/>
                <w:iCs/>
                <w:sz w:val="20"/>
              </w:rPr>
              <w:t>R</w:t>
            </w:r>
            <w:r>
              <w:rPr>
                <w:rFonts w:ascii="宋体" w:hAnsi="宋体" w:cs="宋体"/>
                <w:sz w:val="20"/>
              </w:rPr>
              <w:t>r≥35%且</w:t>
            </w:r>
            <w:r>
              <w:rPr>
                <w:rFonts w:ascii="宋体" w:hAnsi="宋体" w:cs="宋体"/>
                <w:iCs/>
                <w:sz w:val="20"/>
              </w:rPr>
              <w:t>R</w:t>
            </w:r>
            <w:r>
              <w:rPr>
                <w:rFonts w:ascii="宋体" w:hAnsi="宋体" w:cs="宋体"/>
                <w:sz w:val="20"/>
              </w:rPr>
              <w:t>p＜60%，得12分。</w:t>
            </w:r>
          </w:p>
        </w:tc>
        <w:tc>
          <w:tcPr>
            <w:tcW w:w="391" w:type="pct"/>
            <w:shd w:val="clear" w:color="000000" w:fill="FFFFFF"/>
            <w:vAlign w:val="center"/>
          </w:tcPr>
          <w:p>
            <w:pPr>
              <w:widowControl/>
              <w:jc w:val="center"/>
              <w:rPr>
                <w:rFonts w:ascii="宋体" w:hAnsi="宋体" w:cs="宋体"/>
                <w:b/>
                <w:bCs/>
                <w:sz w:val="20"/>
              </w:rPr>
            </w:pPr>
            <w:r>
              <w:rPr>
                <w:rFonts w:ascii="宋体" w:hAnsi="宋体" w:cs="宋体"/>
                <w:b/>
                <w:bCs/>
                <w:sz w:val="20"/>
              </w:rPr>
              <w:t>12</w:t>
            </w:r>
          </w:p>
        </w:tc>
        <w:tc>
          <w:tcPr>
            <w:tcW w:w="375" w:type="pct"/>
            <w:vMerge w:val="restart"/>
            <w:shd w:val="clear" w:color="000000" w:fill="FFFFFF"/>
            <w:vAlign w:val="center"/>
          </w:tcPr>
          <w:p>
            <w:pPr>
              <w:widowControl/>
              <w:jc w:val="center"/>
              <w:rPr>
                <w:rFonts w:ascii="宋体" w:hAnsi="宋体" w:cs="宋体"/>
                <w:b/>
                <w:bCs/>
                <w:sz w:val="20"/>
              </w:rPr>
            </w:pPr>
            <w:r>
              <w:rPr>
                <w:rFonts w:ascii="宋体" w:hAnsi="宋体" w:cs="宋体"/>
                <w:b/>
                <w:bCs/>
                <w:sz w:val="20"/>
              </w:rPr>
              <w:t>12</w:t>
            </w:r>
          </w:p>
        </w:tc>
        <w:tc>
          <w:tcPr>
            <w:tcW w:w="455" w:type="pct"/>
            <w:vMerge w:val="restar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5" w:type="pct"/>
            <w:vMerge w:val="continue"/>
            <w:shd w:val="clear" w:color="000000" w:fill="FFFFFF"/>
            <w:vAlign w:val="center"/>
          </w:tcPr>
          <w:p>
            <w:pPr>
              <w:widowControl/>
              <w:rPr>
                <w:rFonts w:ascii="宋体" w:hAnsi="宋体" w:cs="宋体"/>
                <w:sz w:val="20"/>
              </w:rPr>
            </w:pPr>
          </w:p>
        </w:tc>
        <w:tc>
          <w:tcPr>
            <w:tcW w:w="492" w:type="pct"/>
            <w:vMerge w:val="continue"/>
            <w:shd w:val="clear" w:color="000000" w:fill="FFFFFF"/>
            <w:noWrap/>
            <w:vAlign w:val="center"/>
          </w:tcPr>
          <w:p>
            <w:pPr>
              <w:widowControl/>
              <w:rPr>
                <w:rFonts w:ascii="宋体" w:hAnsi="宋体" w:cs="宋体"/>
                <w:sz w:val="20"/>
              </w:rPr>
            </w:pPr>
          </w:p>
        </w:tc>
        <w:tc>
          <w:tcPr>
            <w:tcW w:w="512" w:type="pct"/>
            <w:vMerge w:val="continue"/>
            <w:shd w:val="clear" w:color="000000" w:fill="FFFFFF"/>
            <w:vAlign w:val="center"/>
          </w:tcPr>
          <w:p>
            <w:pPr>
              <w:widowControl/>
              <w:rPr>
                <w:rFonts w:ascii="宋体" w:hAnsi="宋体" w:cs="宋体"/>
                <w:bCs/>
                <w:sz w:val="20"/>
              </w:rPr>
            </w:pPr>
          </w:p>
        </w:tc>
        <w:tc>
          <w:tcPr>
            <w:tcW w:w="2134" w:type="pct"/>
            <w:gridSpan w:val="8"/>
            <w:shd w:val="clear" w:color="000000" w:fill="FFFFFF"/>
            <w:vAlign w:val="center"/>
          </w:tcPr>
          <w:p>
            <w:pPr>
              <w:rPr>
                <w:rFonts w:ascii="宋体" w:hAnsi="宋体" w:cs="宋体"/>
                <w:bCs/>
                <w:sz w:val="20"/>
              </w:rPr>
            </w:pPr>
            <w:r>
              <w:rPr>
                <w:rFonts w:ascii="宋体" w:hAnsi="宋体" w:cs="宋体"/>
                <w:bCs/>
                <w:sz w:val="20"/>
              </w:rPr>
              <w:t>公共建筑</w:t>
            </w:r>
            <w:r>
              <w:rPr>
                <w:rFonts w:ascii="宋体" w:hAnsi="宋体" w:cs="宋体"/>
                <w:sz w:val="20"/>
              </w:rPr>
              <w:t>地下建筑面积与总用地面积之比</w:t>
            </w:r>
            <w:r>
              <w:rPr>
                <w:rFonts w:ascii="宋体" w:hAnsi="宋体" w:cs="宋体"/>
                <w:iCs/>
                <w:sz w:val="20"/>
              </w:rPr>
              <w:t>R</w:t>
            </w:r>
            <w:r>
              <w:rPr>
                <w:rFonts w:ascii="宋体" w:hAnsi="宋体" w:cs="宋体"/>
                <w:sz w:val="20"/>
              </w:rPr>
              <w:t>p</w:t>
            </w:r>
            <w:r>
              <w:rPr>
                <w:rFonts w:ascii="宋体" w:hAnsi="宋体" w:cs="宋体"/>
                <w:sz w:val="20"/>
                <w:vertAlign w:val="subscript"/>
              </w:rPr>
              <w:t>1</w:t>
            </w:r>
            <w:r>
              <w:rPr>
                <w:rFonts w:ascii="宋体" w:hAnsi="宋体" w:cs="宋体"/>
                <w:sz w:val="20"/>
              </w:rPr>
              <w:t>，地下一层建筑面积与总用地面积的比率</w:t>
            </w:r>
            <w:r>
              <w:rPr>
                <w:rFonts w:ascii="宋体" w:hAnsi="宋体" w:cs="宋体"/>
                <w:iCs/>
                <w:sz w:val="20"/>
              </w:rPr>
              <w:t>R</w:t>
            </w:r>
            <w:r>
              <w:rPr>
                <w:rFonts w:ascii="宋体" w:hAnsi="宋体" w:cs="宋体"/>
                <w:sz w:val="20"/>
              </w:rPr>
              <w:t>p：</w:t>
            </w:r>
          </w:p>
          <w:p>
            <w:pPr>
              <w:widowControl/>
              <w:rPr>
                <w:rFonts w:ascii="宋体" w:hAnsi="宋体" w:cs="宋体"/>
                <w:sz w:val="20"/>
              </w:rPr>
            </w:pPr>
            <w:r>
              <w:rPr>
                <w:rFonts w:ascii="宋体" w:hAnsi="宋体" w:cs="宋体"/>
                <w:iCs/>
                <w:sz w:val="20"/>
              </w:rPr>
              <w:t>R</w:t>
            </w:r>
            <w:r>
              <w:rPr>
                <w:rFonts w:ascii="宋体" w:hAnsi="宋体" w:cs="宋体"/>
                <w:sz w:val="20"/>
              </w:rPr>
              <w:t>p</w:t>
            </w:r>
            <w:r>
              <w:rPr>
                <w:rFonts w:ascii="宋体" w:hAnsi="宋体" w:cs="宋体"/>
                <w:sz w:val="20"/>
                <w:vertAlign w:val="subscript"/>
              </w:rPr>
              <w:t>1</w:t>
            </w:r>
            <w:r>
              <w:rPr>
                <w:rFonts w:ascii="宋体" w:hAnsi="宋体" w:cs="宋体"/>
                <w:sz w:val="20"/>
              </w:rPr>
              <w:t>≥0.5，得5分；</w:t>
            </w:r>
          </w:p>
          <w:p>
            <w:pPr>
              <w:rPr>
                <w:rFonts w:ascii="宋体" w:hAnsi="宋体" w:cs="宋体"/>
                <w:sz w:val="20"/>
              </w:rPr>
            </w:pPr>
            <w:r>
              <w:rPr>
                <w:rFonts w:ascii="宋体" w:hAnsi="宋体" w:cs="宋体"/>
                <w:iCs/>
                <w:sz w:val="20"/>
              </w:rPr>
              <w:t>R</w:t>
            </w:r>
            <w:r>
              <w:rPr>
                <w:rFonts w:ascii="宋体" w:hAnsi="宋体" w:cs="宋体"/>
                <w:sz w:val="20"/>
              </w:rPr>
              <w:t>p</w:t>
            </w:r>
            <w:r>
              <w:rPr>
                <w:rFonts w:ascii="宋体" w:hAnsi="宋体" w:cs="宋体"/>
                <w:sz w:val="20"/>
                <w:vertAlign w:val="subscript"/>
              </w:rPr>
              <w:t>1</w:t>
            </w:r>
            <w:r>
              <w:rPr>
                <w:rFonts w:ascii="宋体" w:hAnsi="宋体" w:cs="宋体"/>
                <w:sz w:val="20"/>
              </w:rPr>
              <w:t>≥0.7且</w:t>
            </w:r>
            <w:r>
              <w:rPr>
                <w:rFonts w:ascii="宋体" w:hAnsi="宋体" w:cs="宋体"/>
                <w:iCs/>
                <w:sz w:val="20"/>
              </w:rPr>
              <w:t>R</w:t>
            </w:r>
            <w:r>
              <w:rPr>
                <w:rFonts w:ascii="宋体" w:hAnsi="宋体" w:cs="宋体"/>
                <w:sz w:val="20"/>
              </w:rPr>
              <w:t>p＜70%，得7分；</w:t>
            </w:r>
          </w:p>
          <w:p>
            <w:pPr>
              <w:rPr>
                <w:rFonts w:ascii="宋体" w:hAnsi="宋体" w:cs="宋体"/>
                <w:bCs/>
                <w:sz w:val="20"/>
              </w:rPr>
            </w:pPr>
            <w:r>
              <w:rPr>
                <w:rFonts w:ascii="宋体" w:hAnsi="宋体" w:cs="宋体"/>
                <w:iCs/>
                <w:sz w:val="20"/>
              </w:rPr>
              <w:t>R</w:t>
            </w:r>
            <w:r>
              <w:rPr>
                <w:rFonts w:ascii="宋体" w:hAnsi="宋体" w:cs="宋体"/>
                <w:sz w:val="20"/>
              </w:rPr>
              <w:t>p</w:t>
            </w:r>
            <w:r>
              <w:rPr>
                <w:rFonts w:ascii="宋体" w:hAnsi="宋体" w:cs="宋体"/>
                <w:sz w:val="20"/>
                <w:vertAlign w:val="subscript"/>
              </w:rPr>
              <w:t>1</w:t>
            </w:r>
            <w:r>
              <w:rPr>
                <w:rFonts w:ascii="宋体" w:hAnsi="宋体" w:cs="宋体"/>
                <w:sz w:val="20"/>
              </w:rPr>
              <w:t>≥1.0且</w:t>
            </w:r>
            <w:r>
              <w:rPr>
                <w:rFonts w:ascii="宋体" w:hAnsi="宋体" w:cs="宋体"/>
                <w:iCs/>
                <w:sz w:val="20"/>
              </w:rPr>
              <w:t>R</w:t>
            </w:r>
            <w:r>
              <w:rPr>
                <w:rFonts w:ascii="宋体" w:hAnsi="宋体" w:cs="宋体"/>
                <w:sz w:val="20"/>
              </w:rPr>
              <w:t>p＜60%，得12分。</w:t>
            </w:r>
          </w:p>
        </w:tc>
        <w:tc>
          <w:tcPr>
            <w:tcW w:w="391" w:type="pct"/>
            <w:shd w:val="clear" w:color="000000" w:fill="FFFFFF"/>
            <w:vAlign w:val="center"/>
          </w:tcPr>
          <w:p>
            <w:pPr>
              <w:jc w:val="center"/>
              <w:rPr>
                <w:rFonts w:ascii="宋体" w:hAnsi="宋体" w:cs="宋体"/>
                <w:b/>
                <w:bCs/>
                <w:sz w:val="20"/>
              </w:rPr>
            </w:pPr>
            <w:r>
              <w:rPr>
                <w:rFonts w:ascii="宋体" w:hAnsi="宋体" w:cs="宋体"/>
                <w:b/>
                <w:bCs/>
                <w:sz w:val="20"/>
              </w:rPr>
              <w:t>12</w:t>
            </w:r>
          </w:p>
        </w:tc>
        <w:tc>
          <w:tcPr>
            <w:tcW w:w="375" w:type="pct"/>
            <w:vMerge w:val="continue"/>
            <w:shd w:val="clear" w:color="000000" w:fill="FFFFFF"/>
            <w:vAlign w:val="center"/>
          </w:tcPr>
          <w:p>
            <w:pPr>
              <w:widowControl/>
              <w:jc w:val="center"/>
              <w:rPr>
                <w:rFonts w:ascii="宋体" w:hAnsi="宋体" w:cs="宋体"/>
                <w:b/>
                <w:bCs/>
                <w:sz w:val="20"/>
              </w:rPr>
            </w:pPr>
          </w:p>
        </w:tc>
        <w:tc>
          <w:tcPr>
            <w:tcW w:w="455" w:type="pct"/>
            <w:vMerge w:val="continue"/>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55" w:type="pct"/>
            <w:vMerge w:val="continue"/>
            <w:shd w:val="clear" w:color="000000" w:fill="FFFFFF"/>
            <w:vAlign w:val="center"/>
          </w:tcPr>
          <w:p>
            <w:pPr>
              <w:widowControl/>
              <w:rPr>
                <w:rFonts w:ascii="宋体" w:hAnsi="宋体" w:cs="宋体"/>
                <w:sz w:val="20"/>
              </w:rPr>
            </w:pPr>
          </w:p>
        </w:tc>
        <w:tc>
          <w:tcPr>
            <w:tcW w:w="492" w:type="pct"/>
            <w:vMerge w:val="continue"/>
            <w:shd w:val="clear" w:color="000000" w:fill="FFFFFF"/>
            <w:noWrap/>
            <w:vAlign w:val="center"/>
          </w:tcPr>
          <w:p>
            <w:pPr>
              <w:widowControl/>
              <w:rPr>
                <w:rFonts w:ascii="宋体" w:hAnsi="宋体" w:cs="宋体"/>
                <w:sz w:val="20"/>
              </w:rPr>
            </w:pPr>
          </w:p>
        </w:tc>
        <w:tc>
          <w:tcPr>
            <w:tcW w:w="2646" w:type="pct"/>
            <w:gridSpan w:val="9"/>
            <w:shd w:val="clear" w:color="000000" w:fill="FFFFFF"/>
            <w:vAlign w:val="center"/>
          </w:tcPr>
          <w:p>
            <w:pPr>
              <w:rPr>
                <w:rFonts w:ascii="宋体" w:hAnsi="宋体" w:cs="宋体"/>
                <w:b/>
                <w:bCs/>
                <w:sz w:val="20"/>
              </w:rPr>
            </w:pPr>
            <w:r>
              <w:rPr>
                <w:rFonts w:ascii="宋体" w:hAnsi="宋体" w:cs="宋体"/>
                <w:bCs/>
                <w:sz w:val="20"/>
              </w:rPr>
              <w:t>或不适宜开发地下空间。</w:t>
            </w:r>
          </w:p>
        </w:tc>
        <w:tc>
          <w:tcPr>
            <w:tcW w:w="391" w:type="pct"/>
            <w:shd w:val="clear" w:color="000000" w:fill="FFFFFF"/>
            <w:vAlign w:val="center"/>
          </w:tcPr>
          <w:p>
            <w:pPr>
              <w:jc w:val="center"/>
              <w:rPr>
                <w:rFonts w:ascii="宋体" w:hAnsi="宋体" w:cs="宋体"/>
                <w:b/>
                <w:bCs/>
                <w:sz w:val="20"/>
              </w:rPr>
            </w:pPr>
            <w:r>
              <w:rPr>
                <w:rFonts w:ascii="宋体" w:hAnsi="宋体" w:cs="宋体"/>
                <w:b/>
                <w:bCs/>
                <w:sz w:val="20"/>
              </w:rPr>
              <w:t>12</w:t>
            </w:r>
          </w:p>
        </w:tc>
        <w:tc>
          <w:tcPr>
            <w:tcW w:w="375" w:type="pct"/>
            <w:vMerge w:val="continue"/>
            <w:shd w:val="clear" w:color="000000" w:fill="FFFFFF"/>
            <w:vAlign w:val="center"/>
          </w:tcPr>
          <w:p>
            <w:pPr>
              <w:widowControl/>
              <w:jc w:val="center"/>
              <w:rPr>
                <w:rFonts w:ascii="宋体" w:hAnsi="宋体" w:cs="宋体"/>
                <w:b/>
                <w:bCs/>
                <w:sz w:val="20"/>
              </w:rPr>
            </w:pP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7.2.3</w:t>
            </w:r>
          </w:p>
        </w:tc>
        <w:tc>
          <w:tcPr>
            <w:tcW w:w="730" w:type="pct"/>
            <w:gridSpan w:val="3"/>
            <w:vMerge w:val="restart"/>
            <w:shd w:val="clear" w:color="auto" w:fill="auto"/>
            <w:vAlign w:val="center"/>
          </w:tcPr>
          <w:p>
            <w:pPr>
              <w:widowControl/>
              <w:rPr>
                <w:rFonts w:ascii="宋体" w:hAnsi="宋体" w:cs="宋体"/>
                <w:b/>
                <w:bCs/>
                <w:sz w:val="20"/>
              </w:rPr>
            </w:pPr>
            <w:r>
              <w:rPr>
                <w:rFonts w:ascii="宋体" w:hAnsi="宋体" w:cs="宋体"/>
                <w:sz w:val="20"/>
              </w:rPr>
              <w:t>采用机械式停车设施、地下停车库或地面停车楼等方式。</w:t>
            </w:r>
          </w:p>
        </w:tc>
        <w:tc>
          <w:tcPr>
            <w:tcW w:w="1916" w:type="pct"/>
            <w:gridSpan w:val="6"/>
            <w:shd w:val="clear" w:color="auto" w:fill="auto"/>
            <w:vAlign w:val="center"/>
          </w:tcPr>
          <w:p>
            <w:pPr>
              <w:widowControl/>
              <w:rPr>
                <w:rFonts w:ascii="宋体" w:hAnsi="宋体" w:cs="宋体"/>
                <w:b/>
                <w:bCs/>
                <w:sz w:val="20"/>
              </w:rPr>
            </w:pPr>
            <w:r>
              <w:rPr>
                <w:rFonts w:ascii="宋体" w:hAnsi="宋体" w:cs="宋体"/>
                <w:sz w:val="20"/>
              </w:rPr>
              <w:t>住宅建筑地面停车位数量与住宅总套数的比率小于10%。</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8</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730" w:type="pct"/>
            <w:gridSpan w:val="3"/>
            <w:vMerge w:val="continue"/>
            <w:vAlign w:val="center"/>
          </w:tcPr>
          <w:p>
            <w:pPr>
              <w:widowControl/>
              <w:rPr>
                <w:rFonts w:ascii="宋体" w:hAnsi="宋体" w:cs="宋体"/>
                <w:b/>
                <w:bCs/>
                <w:sz w:val="20"/>
              </w:rPr>
            </w:pPr>
          </w:p>
        </w:tc>
        <w:tc>
          <w:tcPr>
            <w:tcW w:w="1916" w:type="pct"/>
            <w:gridSpan w:val="6"/>
            <w:vAlign w:val="center"/>
          </w:tcPr>
          <w:p>
            <w:pPr>
              <w:widowControl/>
              <w:rPr>
                <w:rFonts w:ascii="宋体" w:hAnsi="宋体" w:cs="宋体"/>
                <w:b/>
                <w:bCs/>
                <w:sz w:val="20"/>
              </w:rPr>
            </w:pPr>
            <w:r>
              <w:rPr>
                <w:rFonts w:ascii="宋体" w:hAnsi="宋体" w:cs="宋体"/>
                <w:sz w:val="20"/>
              </w:rPr>
              <w:t>公共建筑地面停车占地面积与其总建设用地面积的比率小于8%。</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7.2.4</w:t>
            </w:r>
          </w:p>
        </w:tc>
        <w:tc>
          <w:tcPr>
            <w:tcW w:w="512" w:type="pct"/>
            <w:shd w:val="clear" w:color="auto" w:fill="auto"/>
            <w:vAlign w:val="center"/>
          </w:tcPr>
          <w:p>
            <w:pPr>
              <w:widowControl/>
              <w:rPr>
                <w:rFonts w:ascii="宋体" w:hAnsi="宋体" w:cs="宋体"/>
                <w:bCs/>
                <w:sz w:val="20"/>
              </w:rPr>
            </w:pPr>
            <w:r>
              <w:rPr>
                <w:rFonts w:ascii="宋体" w:hAnsi="宋体" w:cs="宋体"/>
                <w:bCs/>
                <w:sz w:val="20"/>
              </w:rPr>
              <w:t>围护结构的热工性能优化</w:t>
            </w:r>
          </w:p>
        </w:tc>
        <w:tc>
          <w:tcPr>
            <w:tcW w:w="2134" w:type="pct"/>
            <w:gridSpan w:val="8"/>
            <w:shd w:val="clear" w:color="auto" w:fill="auto"/>
            <w:vAlign w:val="center"/>
          </w:tcPr>
          <w:p>
            <w:pPr>
              <w:widowControl/>
              <w:rPr>
                <w:rFonts w:ascii="宋体" w:hAnsi="宋体" w:cs="宋体"/>
                <w:bCs/>
                <w:sz w:val="20"/>
              </w:rPr>
            </w:pPr>
            <w:r>
              <w:rPr>
                <w:rFonts w:ascii="宋体" w:hAnsi="宋体" w:cs="宋体"/>
                <w:bCs/>
                <w:sz w:val="20"/>
              </w:rPr>
              <w:t xml:space="preserve">围护结构热工性能比国家现行相关建筑节能设计标准规定的提高幅度达到5%，或建筑供暖空调负荷降低5%，得5分；                        </w:t>
            </w:r>
          </w:p>
          <w:p>
            <w:pPr>
              <w:widowControl/>
              <w:rPr>
                <w:rFonts w:ascii="宋体" w:hAnsi="宋体" w:cs="宋体"/>
                <w:bCs/>
                <w:sz w:val="20"/>
              </w:rPr>
            </w:pPr>
            <w:r>
              <w:rPr>
                <w:rFonts w:ascii="宋体" w:hAnsi="宋体" w:cs="宋体"/>
                <w:bCs/>
                <w:sz w:val="20"/>
              </w:rPr>
              <w:t xml:space="preserve">围护结构热工性能比国家现行相关建筑节能设计标准规定的提高幅度达到10%，或建筑供暖空调负荷降低10%，得10分；        </w:t>
            </w:r>
          </w:p>
          <w:p>
            <w:pPr>
              <w:widowControl/>
              <w:rPr>
                <w:rFonts w:ascii="宋体" w:hAnsi="宋体" w:cs="宋体"/>
                <w:bCs/>
                <w:sz w:val="20"/>
              </w:rPr>
            </w:pPr>
            <w:r>
              <w:rPr>
                <w:rFonts w:ascii="宋体" w:hAnsi="宋体" w:cs="宋体"/>
                <w:bCs/>
                <w:sz w:val="20"/>
              </w:rPr>
              <w:t>围护结构热工性能比国家现行相关建筑节能设计标准规定的提高幅度达到15%，或建筑供暖空调负荷降低15%，得15分。</w:t>
            </w:r>
          </w:p>
        </w:tc>
        <w:tc>
          <w:tcPr>
            <w:tcW w:w="391" w:type="pct"/>
            <w:vAlign w:val="center"/>
          </w:tcPr>
          <w:p>
            <w:pPr>
              <w:widowControl/>
              <w:jc w:val="center"/>
              <w:rPr>
                <w:rFonts w:ascii="宋体" w:hAnsi="宋体" w:cs="宋体"/>
                <w:b/>
                <w:bCs/>
                <w:sz w:val="20"/>
              </w:rPr>
            </w:pPr>
            <w:r>
              <w:rPr>
                <w:rFonts w:ascii="宋体" w:hAnsi="宋体" w:cs="宋体"/>
                <w:b/>
                <w:bCs/>
                <w:sz w:val="20"/>
              </w:rPr>
              <w:t>15</w:t>
            </w:r>
          </w:p>
        </w:tc>
        <w:tc>
          <w:tcPr>
            <w:tcW w:w="375" w:type="pct"/>
            <w:vAlign w:val="center"/>
          </w:tcPr>
          <w:p>
            <w:pPr>
              <w:widowControl/>
              <w:jc w:val="center"/>
              <w:rPr>
                <w:rFonts w:ascii="宋体" w:hAnsi="宋体" w:cs="宋体"/>
                <w:b/>
                <w:bCs/>
                <w:sz w:val="20"/>
              </w:rPr>
            </w:pPr>
            <w:r>
              <w:rPr>
                <w:rFonts w:ascii="宋体" w:hAnsi="宋体" w:cs="宋体"/>
                <w:b/>
                <w:bCs/>
                <w:sz w:val="20"/>
              </w:rPr>
              <w:t>15</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7.2.5</w:t>
            </w:r>
          </w:p>
        </w:tc>
        <w:tc>
          <w:tcPr>
            <w:tcW w:w="2646" w:type="pct"/>
            <w:gridSpan w:val="9"/>
            <w:shd w:val="clear" w:color="auto" w:fill="auto"/>
            <w:vAlign w:val="center"/>
          </w:tcPr>
          <w:p>
            <w:pPr>
              <w:widowControl/>
              <w:rPr>
                <w:rFonts w:ascii="宋体" w:hAnsi="宋体" w:cs="宋体"/>
                <w:b/>
                <w:bCs/>
                <w:sz w:val="20"/>
              </w:rPr>
            </w:pPr>
            <w:r>
              <w:rPr>
                <w:rFonts w:ascii="宋体" w:hAnsi="宋体" w:cs="宋体"/>
                <w:sz w:val="20"/>
              </w:rPr>
              <w:t>供暖空调系统的冷、热源机组能效均优于现行国家标准《公共建筑节能设计标准》GB 50189的规定以及现行有关国家标准能效限定值的要求。</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Align w:val="center"/>
          </w:tcPr>
          <w:p>
            <w:pPr>
              <w:widowControl/>
              <w:jc w:val="center"/>
              <w:rPr>
                <w:rFonts w:ascii="宋体" w:hAnsi="宋体" w:cs="宋体"/>
                <w:b/>
                <w:bCs/>
                <w:sz w:val="20"/>
              </w:rPr>
            </w:pPr>
            <w:r>
              <w:rPr>
                <w:rFonts w:ascii="宋体" w:hAnsi="宋体" w:cs="宋体"/>
                <w:b/>
                <w:bCs/>
                <w:sz w:val="20"/>
              </w:rPr>
              <w:t>10</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7.2.6</w:t>
            </w:r>
          </w:p>
        </w:tc>
        <w:tc>
          <w:tcPr>
            <w:tcW w:w="558" w:type="pct"/>
            <w:gridSpan w:val="2"/>
            <w:vMerge w:val="restart"/>
            <w:shd w:val="clear" w:color="auto" w:fill="auto"/>
            <w:vAlign w:val="center"/>
          </w:tcPr>
          <w:p>
            <w:pPr>
              <w:widowControl/>
              <w:rPr>
                <w:rFonts w:ascii="宋体" w:hAnsi="宋体" w:cs="宋体"/>
                <w:bCs/>
                <w:sz w:val="20"/>
              </w:rPr>
            </w:pPr>
            <w:r>
              <w:rPr>
                <w:rFonts w:ascii="宋体" w:hAnsi="宋体" w:cs="宋体"/>
                <w:bCs/>
                <w:sz w:val="20"/>
              </w:rPr>
              <w:t>末端系统及输配系统性能优化</w:t>
            </w:r>
          </w:p>
        </w:tc>
        <w:tc>
          <w:tcPr>
            <w:tcW w:w="2088" w:type="pct"/>
            <w:gridSpan w:val="7"/>
            <w:shd w:val="clear" w:color="auto" w:fill="auto"/>
            <w:vAlign w:val="center"/>
          </w:tcPr>
          <w:p>
            <w:pPr>
              <w:widowControl/>
              <w:rPr>
                <w:rFonts w:ascii="宋体" w:hAnsi="宋体" w:cs="宋体"/>
                <w:bCs/>
                <w:sz w:val="20"/>
              </w:rPr>
            </w:pPr>
            <w:r>
              <w:rPr>
                <w:rFonts w:ascii="宋体" w:hAnsi="宋体" w:cs="宋体"/>
                <w:bCs/>
                <w:sz w:val="20"/>
              </w:rPr>
              <w:t>通风空调系统风机的单位风量耗功率比现行国家标准《公共建筑节能设计标准》GB 50189的规定低20%；</w:t>
            </w:r>
          </w:p>
          <w:p>
            <w:pPr>
              <w:widowControl/>
              <w:rPr>
                <w:rFonts w:ascii="宋体" w:hAnsi="宋体" w:cs="宋体"/>
                <w:bCs/>
                <w:sz w:val="20"/>
              </w:rPr>
            </w:pPr>
            <w:r>
              <w:rPr>
                <w:rFonts w:ascii="宋体" w:hAnsi="宋体" w:cs="宋体"/>
                <w:bCs/>
                <w:sz w:val="20"/>
              </w:rPr>
              <w:t>或采用分体空调和多联机空调（热泵）机组。</w:t>
            </w:r>
          </w:p>
        </w:tc>
        <w:tc>
          <w:tcPr>
            <w:tcW w:w="391" w:type="pct"/>
            <w:vAlign w:val="center"/>
          </w:tcPr>
          <w:p>
            <w:pPr>
              <w:widowControl/>
              <w:jc w:val="center"/>
              <w:rPr>
                <w:rFonts w:ascii="宋体" w:hAnsi="宋体" w:cs="宋体"/>
                <w:b/>
                <w:bCs/>
                <w:sz w:val="20"/>
              </w:rPr>
            </w:pPr>
            <w:r>
              <w:rPr>
                <w:rFonts w:ascii="宋体" w:hAnsi="宋体" w:cs="宋体"/>
                <w:b/>
                <w:bCs/>
                <w:sz w:val="20"/>
              </w:rPr>
              <w:t>2</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5</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58" w:type="pct"/>
            <w:gridSpan w:val="2"/>
            <w:vMerge w:val="continue"/>
            <w:vAlign w:val="center"/>
          </w:tcPr>
          <w:p>
            <w:pPr>
              <w:widowControl/>
              <w:rPr>
                <w:rFonts w:ascii="宋体" w:hAnsi="宋体" w:cs="宋体"/>
                <w:bCs/>
                <w:sz w:val="20"/>
              </w:rPr>
            </w:pPr>
          </w:p>
        </w:tc>
        <w:tc>
          <w:tcPr>
            <w:tcW w:w="2088" w:type="pct"/>
            <w:gridSpan w:val="7"/>
            <w:vAlign w:val="center"/>
          </w:tcPr>
          <w:p>
            <w:pPr>
              <w:widowControl/>
              <w:rPr>
                <w:rFonts w:ascii="宋体" w:hAnsi="宋体" w:cs="宋体"/>
                <w:bCs/>
                <w:sz w:val="20"/>
              </w:rPr>
            </w:pPr>
            <w:r>
              <w:rPr>
                <w:rFonts w:ascii="宋体" w:hAnsi="宋体" w:cs="宋体"/>
                <w:bCs/>
                <w:sz w:val="20"/>
              </w:rPr>
              <w:t>集中供暖系统热水循环泵的耗电输热比、空调冷热水系统循环水泵的耗电输冷（热）比比现行国家标准《民用建筑供暖通风与空气调节设计规范》GB 50736规定值低20%；</w:t>
            </w:r>
          </w:p>
          <w:p>
            <w:pPr>
              <w:widowControl/>
              <w:rPr>
                <w:rFonts w:ascii="宋体" w:hAnsi="宋体" w:cs="宋体"/>
                <w:bCs/>
                <w:sz w:val="20"/>
              </w:rPr>
            </w:pPr>
            <w:r>
              <w:rPr>
                <w:rFonts w:ascii="宋体" w:hAnsi="宋体" w:cs="宋体"/>
                <w:bCs/>
                <w:sz w:val="20"/>
              </w:rPr>
              <w:t>或非集中采暖空调系统项目。</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7.2.7</w:t>
            </w:r>
          </w:p>
        </w:tc>
        <w:tc>
          <w:tcPr>
            <w:tcW w:w="558" w:type="pct"/>
            <w:gridSpan w:val="2"/>
            <w:vMerge w:val="restart"/>
            <w:shd w:val="clear" w:color="auto" w:fill="auto"/>
            <w:vAlign w:val="center"/>
          </w:tcPr>
          <w:p>
            <w:pPr>
              <w:widowControl/>
              <w:rPr>
                <w:rFonts w:ascii="宋体" w:hAnsi="宋体" w:cs="宋体"/>
                <w:bCs/>
                <w:sz w:val="20"/>
              </w:rPr>
            </w:pPr>
            <w:r>
              <w:rPr>
                <w:rFonts w:ascii="宋体" w:hAnsi="宋体" w:cs="宋体"/>
                <w:bCs/>
                <w:sz w:val="20"/>
              </w:rPr>
              <w:t>节能型电气设备及节能控制措施</w:t>
            </w:r>
          </w:p>
        </w:tc>
        <w:tc>
          <w:tcPr>
            <w:tcW w:w="2088" w:type="pct"/>
            <w:gridSpan w:val="7"/>
            <w:shd w:val="clear" w:color="auto" w:fill="auto"/>
            <w:vAlign w:val="center"/>
          </w:tcPr>
          <w:p>
            <w:pPr>
              <w:widowControl/>
              <w:rPr>
                <w:rFonts w:ascii="宋体" w:hAnsi="宋体" w:cs="宋体"/>
                <w:bCs/>
                <w:sz w:val="20"/>
              </w:rPr>
            </w:pPr>
            <w:r>
              <w:rPr>
                <w:rFonts w:ascii="宋体" w:hAnsi="宋体" w:cs="宋体"/>
                <w:bCs/>
                <w:sz w:val="20"/>
              </w:rPr>
              <w:t>主要功能房间的照明功率密度值达到现行国家标准《建筑照明设计标准》GB 50034规定的目标值。</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10</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58" w:type="pct"/>
            <w:gridSpan w:val="2"/>
            <w:vMerge w:val="continue"/>
            <w:vAlign w:val="center"/>
          </w:tcPr>
          <w:p>
            <w:pPr>
              <w:widowControl/>
              <w:rPr>
                <w:rFonts w:ascii="宋体" w:hAnsi="宋体" w:cs="宋体"/>
                <w:bCs/>
                <w:sz w:val="20"/>
              </w:rPr>
            </w:pPr>
          </w:p>
        </w:tc>
        <w:tc>
          <w:tcPr>
            <w:tcW w:w="2088" w:type="pct"/>
            <w:gridSpan w:val="7"/>
            <w:vAlign w:val="center"/>
          </w:tcPr>
          <w:p>
            <w:pPr>
              <w:widowControl/>
              <w:rPr>
                <w:rFonts w:ascii="宋体" w:hAnsi="宋体" w:cs="宋体"/>
                <w:bCs/>
                <w:sz w:val="20"/>
              </w:rPr>
            </w:pPr>
            <w:r>
              <w:rPr>
                <w:rFonts w:ascii="宋体" w:hAnsi="宋体" w:cs="宋体"/>
                <w:bCs/>
                <w:sz w:val="20"/>
              </w:rPr>
              <w:t>采光区域的人工照明随天然光照度变化自动调节。</w:t>
            </w:r>
          </w:p>
        </w:tc>
        <w:tc>
          <w:tcPr>
            <w:tcW w:w="391" w:type="pct"/>
            <w:vAlign w:val="center"/>
          </w:tcPr>
          <w:p>
            <w:pPr>
              <w:widowControl/>
              <w:jc w:val="center"/>
              <w:rPr>
                <w:rFonts w:ascii="宋体" w:hAnsi="宋体" w:cs="宋体"/>
                <w:b/>
                <w:bCs/>
                <w:sz w:val="20"/>
              </w:rPr>
            </w:pPr>
            <w:r>
              <w:rPr>
                <w:rFonts w:ascii="宋体" w:hAnsi="宋体" w:cs="宋体"/>
                <w:b/>
                <w:bCs/>
                <w:sz w:val="20"/>
              </w:rPr>
              <w:t>2</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58" w:type="pct"/>
            <w:gridSpan w:val="2"/>
            <w:vMerge w:val="continue"/>
            <w:vAlign w:val="center"/>
          </w:tcPr>
          <w:p>
            <w:pPr>
              <w:widowControl/>
              <w:rPr>
                <w:rFonts w:ascii="宋体" w:hAnsi="宋体" w:cs="宋体"/>
                <w:bCs/>
                <w:sz w:val="20"/>
              </w:rPr>
            </w:pPr>
          </w:p>
        </w:tc>
        <w:tc>
          <w:tcPr>
            <w:tcW w:w="2088" w:type="pct"/>
            <w:gridSpan w:val="7"/>
            <w:vAlign w:val="center"/>
          </w:tcPr>
          <w:p>
            <w:pPr>
              <w:widowControl/>
              <w:rPr>
                <w:rFonts w:ascii="宋体" w:hAnsi="宋体" w:cs="宋体"/>
                <w:bCs/>
                <w:sz w:val="20"/>
              </w:rPr>
            </w:pPr>
            <w:r>
              <w:rPr>
                <w:rFonts w:ascii="宋体" w:hAnsi="宋体" w:cs="宋体"/>
                <w:bCs/>
                <w:sz w:val="20"/>
              </w:rPr>
              <w:t>照明产品、三相配电变压器、水泵、风机等设备满足国家现行有关标准的节能评价值的要求。</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7.2.8</w:t>
            </w:r>
          </w:p>
        </w:tc>
        <w:tc>
          <w:tcPr>
            <w:tcW w:w="558" w:type="pct"/>
            <w:gridSpan w:val="2"/>
            <w:shd w:val="clear" w:color="auto" w:fill="auto"/>
            <w:vAlign w:val="center"/>
          </w:tcPr>
          <w:p>
            <w:pPr>
              <w:widowControl/>
              <w:rPr>
                <w:rFonts w:ascii="宋体" w:hAnsi="宋体" w:cs="宋体"/>
                <w:bCs/>
                <w:sz w:val="20"/>
              </w:rPr>
            </w:pPr>
            <w:r>
              <w:rPr>
                <w:rFonts w:ascii="宋体" w:hAnsi="宋体" w:cs="宋体"/>
                <w:bCs/>
                <w:sz w:val="20"/>
              </w:rPr>
              <w:t>建筑能耗优化</w:t>
            </w:r>
          </w:p>
        </w:tc>
        <w:tc>
          <w:tcPr>
            <w:tcW w:w="2088" w:type="pct"/>
            <w:gridSpan w:val="7"/>
            <w:shd w:val="clear" w:color="auto" w:fill="auto"/>
            <w:vAlign w:val="center"/>
          </w:tcPr>
          <w:p>
            <w:pPr>
              <w:widowControl/>
              <w:rPr>
                <w:rFonts w:ascii="宋体" w:hAnsi="宋体" w:cs="宋体"/>
                <w:bCs/>
                <w:sz w:val="20"/>
              </w:rPr>
            </w:pPr>
            <w:r>
              <w:rPr>
                <w:rFonts w:ascii="宋体" w:hAnsi="宋体" w:cs="宋体"/>
                <w:bCs/>
                <w:sz w:val="20"/>
              </w:rPr>
              <w:t>建筑能耗相比国家现行有关建筑节能标准降低10%，得5分；</w:t>
            </w:r>
          </w:p>
          <w:p>
            <w:pPr>
              <w:widowControl/>
              <w:rPr>
                <w:rFonts w:ascii="宋体" w:hAnsi="宋体" w:cs="宋体"/>
                <w:bCs/>
                <w:sz w:val="20"/>
              </w:rPr>
            </w:pPr>
            <w:r>
              <w:rPr>
                <w:rFonts w:ascii="宋体" w:hAnsi="宋体" w:cs="宋体"/>
                <w:bCs/>
                <w:sz w:val="20"/>
              </w:rPr>
              <w:t>建筑能耗相比国家现行有关建筑节能标准降低20%，得10分。</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Align w:val="center"/>
          </w:tcPr>
          <w:p>
            <w:pPr>
              <w:widowControl/>
              <w:jc w:val="center"/>
              <w:rPr>
                <w:rFonts w:ascii="宋体" w:hAnsi="宋体" w:cs="宋体"/>
                <w:b/>
                <w:bCs/>
                <w:sz w:val="20"/>
              </w:rPr>
            </w:pPr>
            <w:r>
              <w:rPr>
                <w:rFonts w:ascii="宋体" w:hAnsi="宋体" w:cs="宋体"/>
                <w:b/>
                <w:bCs/>
                <w:sz w:val="20"/>
              </w:rPr>
              <w:t>10</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7.2.9</w:t>
            </w:r>
          </w:p>
        </w:tc>
        <w:tc>
          <w:tcPr>
            <w:tcW w:w="2646" w:type="pct"/>
            <w:gridSpan w:val="9"/>
            <w:shd w:val="clear" w:color="auto" w:fill="auto"/>
            <w:vAlign w:val="center"/>
          </w:tcPr>
          <w:p>
            <w:pPr>
              <w:widowControl/>
              <w:rPr>
                <w:rFonts w:ascii="宋体" w:hAnsi="宋体" w:cs="宋体"/>
                <w:b/>
                <w:bCs/>
                <w:sz w:val="20"/>
              </w:rPr>
            </w:pPr>
            <w:r>
              <w:rPr>
                <w:rFonts w:ascii="宋体" w:hAnsi="宋体" w:cs="宋体"/>
                <w:sz w:val="20"/>
              </w:rPr>
              <w:t>结合当地气候和自然资源条件合理利用可再生能源。</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Align w:val="center"/>
          </w:tcPr>
          <w:p>
            <w:pPr>
              <w:widowControl/>
              <w:jc w:val="center"/>
              <w:rPr>
                <w:rFonts w:ascii="宋体" w:hAnsi="宋体" w:cs="宋体"/>
                <w:b/>
                <w:bCs/>
                <w:sz w:val="20"/>
              </w:rPr>
            </w:pPr>
            <w:r>
              <w:rPr>
                <w:rFonts w:ascii="宋体" w:hAnsi="宋体" w:cs="宋体"/>
                <w:b/>
                <w:bCs/>
                <w:sz w:val="20"/>
              </w:rPr>
              <w:t>10</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7.2.10</w:t>
            </w:r>
          </w:p>
        </w:tc>
        <w:tc>
          <w:tcPr>
            <w:tcW w:w="512" w:type="pct"/>
            <w:shd w:val="clear" w:color="auto" w:fill="auto"/>
            <w:vAlign w:val="center"/>
          </w:tcPr>
          <w:p>
            <w:pPr>
              <w:widowControl/>
              <w:rPr>
                <w:rFonts w:ascii="宋体" w:hAnsi="宋体" w:cs="宋体"/>
                <w:bCs/>
                <w:sz w:val="20"/>
              </w:rPr>
            </w:pPr>
            <w:r>
              <w:rPr>
                <w:rFonts w:ascii="宋体" w:hAnsi="宋体" w:cs="宋体"/>
                <w:sz w:val="20"/>
              </w:rPr>
              <w:t>使用较高用水效率等级的卫生器具。</w:t>
            </w:r>
          </w:p>
        </w:tc>
        <w:tc>
          <w:tcPr>
            <w:tcW w:w="2134" w:type="pct"/>
            <w:gridSpan w:val="8"/>
            <w:shd w:val="clear" w:color="auto" w:fill="auto"/>
            <w:vAlign w:val="center"/>
          </w:tcPr>
          <w:p>
            <w:pPr>
              <w:widowControl/>
              <w:rPr>
                <w:rFonts w:ascii="宋体" w:hAnsi="宋体" w:cs="宋体"/>
                <w:bCs/>
                <w:sz w:val="20"/>
              </w:rPr>
            </w:pPr>
            <w:r>
              <w:rPr>
                <w:rFonts w:ascii="宋体" w:hAnsi="宋体" w:cs="宋体"/>
                <w:bCs/>
                <w:sz w:val="20"/>
              </w:rPr>
              <w:t>全部卫生器具的用水效率等级达到2级，得8分；</w:t>
            </w:r>
          </w:p>
          <w:p>
            <w:pPr>
              <w:widowControl/>
              <w:rPr>
                <w:rFonts w:ascii="宋体" w:hAnsi="宋体" w:cs="宋体"/>
                <w:bCs/>
                <w:sz w:val="20"/>
              </w:rPr>
            </w:pPr>
            <w:r>
              <w:rPr>
                <w:rFonts w:ascii="宋体" w:hAnsi="宋体" w:cs="宋体"/>
                <w:bCs/>
                <w:sz w:val="20"/>
              </w:rPr>
              <w:t>50%以上卫生器具的用水效率等级达到1级且其他达到2级，得12分；</w:t>
            </w:r>
          </w:p>
          <w:p>
            <w:pPr>
              <w:widowControl/>
              <w:rPr>
                <w:rFonts w:ascii="宋体" w:hAnsi="宋体" w:cs="宋体"/>
                <w:bCs/>
                <w:sz w:val="20"/>
              </w:rPr>
            </w:pPr>
            <w:r>
              <w:rPr>
                <w:rFonts w:ascii="宋体" w:hAnsi="宋体" w:cs="宋体"/>
                <w:bCs/>
                <w:sz w:val="20"/>
              </w:rPr>
              <w:t>全部卫生器具的用水效率等级达到1级，得15分。</w:t>
            </w:r>
          </w:p>
        </w:tc>
        <w:tc>
          <w:tcPr>
            <w:tcW w:w="391" w:type="pct"/>
            <w:vAlign w:val="center"/>
          </w:tcPr>
          <w:p>
            <w:pPr>
              <w:widowControl/>
              <w:jc w:val="center"/>
              <w:rPr>
                <w:rFonts w:ascii="宋体" w:hAnsi="宋体" w:cs="宋体"/>
                <w:b/>
                <w:bCs/>
                <w:sz w:val="20"/>
              </w:rPr>
            </w:pPr>
            <w:r>
              <w:rPr>
                <w:rFonts w:ascii="宋体" w:hAnsi="宋体" w:cs="宋体"/>
                <w:b/>
                <w:bCs/>
                <w:sz w:val="20"/>
              </w:rPr>
              <w:t>15</w:t>
            </w:r>
          </w:p>
        </w:tc>
        <w:tc>
          <w:tcPr>
            <w:tcW w:w="375" w:type="pct"/>
            <w:vAlign w:val="center"/>
          </w:tcPr>
          <w:p>
            <w:pPr>
              <w:widowControl/>
              <w:jc w:val="center"/>
              <w:rPr>
                <w:rFonts w:ascii="宋体" w:hAnsi="宋体" w:cs="宋体"/>
                <w:b/>
                <w:bCs/>
                <w:sz w:val="20"/>
              </w:rPr>
            </w:pPr>
            <w:r>
              <w:rPr>
                <w:rFonts w:ascii="宋体" w:hAnsi="宋体" w:cs="宋体"/>
                <w:b/>
                <w:bCs/>
                <w:sz w:val="20"/>
              </w:rPr>
              <w:t>15</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7.2.11</w:t>
            </w:r>
          </w:p>
        </w:tc>
        <w:tc>
          <w:tcPr>
            <w:tcW w:w="512" w:type="pct"/>
            <w:vMerge w:val="restart"/>
            <w:shd w:val="clear" w:color="auto" w:fill="auto"/>
            <w:vAlign w:val="center"/>
          </w:tcPr>
          <w:p>
            <w:pPr>
              <w:widowControl/>
              <w:rPr>
                <w:rFonts w:ascii="宋体" w:hAnsi="宋体" w:cs="宋体"/>
                <w:bCs/>
                <w:sz w:val="20"/>
              </w:rPr>
            </w:pPr>
            <w:r>
              <w:rPr>
                <w:rFonts w:ascii="宋体" w:hAnsi="宋体" w:cs="宋体"/>
                <w:sz w:val="20"/>
              </w:rPr>
              <w:t>绿化灌溉及空调冷却水系统采用节水设备或技术。</w:t>
            </w:r>
          </w:p>
        </w:tc>
        <w:tc>
          <w:tcPr>
            <w:tcW w:w="2134" w:type="pct"/>
            <w:gridSpan w:val="8"/>
            <w:shd w:val="clear" w:color="auto" w:fill="auto"/>
            <w:vAlign w:val="center"/>
          </w:tcPr>
          <w:p>
            <w:pPr>
              <w:widowControl/>
              <w:rPr>
                <w:rFonts w:ascii="宋体" w:hAnsi="宋体" w:cs="宋体"/>
                <w:bCs/>
                <w:sz w:val="20"/>
              </w:rPr>
            </w:pPr>
            <w:r>
              <w:rPr>
                <w:rFonts w:ascii="宋体" w:hAnsi="宋体" w:cs="宋体"/>
                <w:bCs/>
                <w:sz w:val="20"/>
              </w:rPr>
              <w:t>采用节水灌溉系统，得4分；</w:t>
            </w:r>
          </w:p>
          <w:p>
            <w:pPr>
              <w:widowControl/>
              <w:rPr>
                <w:rFonts w:ascii="宋体" w:hAnsi="宋体" w:cs="宋体"/>
                <w:bCs/>
                <w:sz w:val="20"/>
              </w:rPr>
            </w:pPr>
            <w:r>
              <w:rPr>
                <w:rFonts w:ascii="宋体" w:hAnsi="宋体" w:cs="宋体"/>
                <w:bCs/>
                <w:sz w:val="20"/>
              </w:rPr>
              <w:t>在采用节水灌溉系统的基础上，设置土壤湿度感应器、雨天自动关闭装置等节水控制措施，种植无需永久灌溉植物，得6分。</w:t>
            </w:r>
          </w:p>
        </w:tc>
        <w:tc>
          <w:tcPr>
            <w:tcW w:w="391" w:type="pct"/>
            <w:vAlign w:val="center"/>
          </w:tcPr>
          <w:p>
            <w:pPr>
              <w:widowControl/>
              <w:jc w:val="center"/>
              <w:rPr>
                <w:rFonts w:ascii="宋体" w:hAnsi="宋体" w:cs="宋体"/>
                <w:b/>
                <w:bCs/>
                <w:sz w:val="20"/>
              </w:rPr>
            </w:pPr>
            <w:r>
              <w:rPr>
                <w:rFonts w:ascii="宋体" w:hAnsi="宋体" w:cs="宋体"/>
                <w:b/>
                <w:bCs/>
                <w:sz w:val="20"/>
              </w:rPr>
              <w:t>6</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12</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widowControl/>
              <w:rPr>
                <w:rFonts w:ascii="宋体" w:hAnsi="宋体" w:cs="宋体"/>
                <w:bCs/>
                <w:sz w:val="20"/>
              </w:rPr>
            </w:pPr>
            <w:r>
              <w:rPr>
                <w:rFonts w:ascii="宋体" w:hAnsi="宋体" w:cs="宋体"/>
                <w:bCs/>
                <w:sz w:val="20"/>
              </w:rPr>
              <w:t>循环冷却水系统采取设置水处理措施、加大集水盘、设置平衡管或平衡水箱等方式，避免冷却水泵停泵时冷却水溢出，得3分；</w:t>
            </w:r>
          </w:p>
          <w:p>
            <w:pPr>
              <w:widowControl/>
              <w:rPr>
                <w:rFonts w:ascii="宋体" w:hAnsi="宋体" w:cs="宋体"/>
                <w:bCs/>
                <w:sz w:val="20"/>
              </w:rPr>
            </w:pPr>
            <w:r>
              <w:rPr>
                <w:rFonts w:ascii="宋体" w:hAnsi="宋体" w:cs="宋体"/>
                <w:bCs/>
                <w:sz w:val="20"/>
              </w:rPr>
              <w:t>采用无蒸发耗水量的冷却技术，得6分。</w:t>
            </w:r>
          </w:p>
        </w:tc>
        <w:tc>
          <w:tcPr>
            <w:tcW w:w="391" w:type="pct"/>
            <w:vAlign w:val="center"/>
          </w:tcPr>
          <w:p>
            <w:pPr>
              <w:widowControl/>
              <w:jc w:val="center"/>
              <w:rPr>
                <w:rFonts w:ascii="宋体" w:hAnsi="宋体" w:cs="宋体"/>
                <w:b/>
                <w:bCs/>
                <w:sz w:val="20"/>
              </w:rPr>
            </w:pPr>
            <w:r>
              <w:rPr>
                <w:rFonts w:ascii="宋体" w:hAnsi="宋体" w:cs="宋体"/>
                <w:b/>
                <w:bCs/>
                <w:sz w:val="20"/>
              </w:rPr>
              <w:t>6</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7.2.12</w:t>
            </w:r>
          </w:p>
        </w:tc>
        <w:tc>
          <w:tcPr>
            <w:tcW w:w="1146" w:type="pct"/>
            <w:gridSpan w:val="8"/>
            <w:vMerge w:val="restart"/>
            <w:shd w:val="clear" w:color="auto" w:fill="auto"/>
            <w:vAlign w:val="center"/>
          </w:tcPr>
          <w:p>
            <w:pPr>
              <w:widowControl/>
              <w:rPr>
                <w:rFonts w:ascii="宋体" w:hAnsi="宋体" w:cs="宋体"/>
                <w:bCs/>
                <w:sz w:val="20"/>
              </w:rPr>
            </w:pPr>
            <w:r>
              <w:rPr>
                <w:rFonts w:ascii="宋体" w:hAnsi="宋体" w:cs="宋体"/>
                <w:sz w:val="20"/>
              </w:rPr>
              <w:t>结合雨水综合利用设施营造室外景观水体，室外景观水体利用雨水的补水量大于水体蒸发量的60%，且采用保障水体水质的生态水处理技术。</w:t>
            </w:r>
          </w:p>
        </w:tc>
        <w:tc>
          <w:tcPr>
            <w:tcW w:w="1500" w:type="pct"/>
            <w:shd w:val="clear" w:color="auto" w:fill="auto"/>
            <w:vAlign w:val="center"/>
          </w:tcPr>
          <w:p>
            <w:pPr>
              <w:widowControl/>
              <w:rPr>
                <w:rFonts w:ascii="宋体" w:hAnsi="宋体" w:cs="宋体"/>
                <w:bCs/>
                <w:sz w:val="20"/>
              </w:rPr>
            </w:pPr>
            <w:r>
              <w:rPr>
                <w:rFonts w:ascii="宋体" w:hAnsi="宋体" w:cs="宋体"/>
                <w:bCs/>
                <w:sz w:val="20"/>
              </w:rPr>
              <w:t>对进入室外景观水体的雨水，利用生态设施削减径流污染。</w:t>
            </w:r>
          </w:p>
        </w:tc>
        <w:tc>
          <w:tcPr>
            <w:tcW w:w="391" w:type="pct"/>
            <w:vAlign w:val="center"/>
          </w:tcPr>
          <w:p>
            <w:pPr>
              <w:widowControl/>
              <w:jc w:val="center"/>
              <w:rPr>
                <w:rFonts w:ascii="宋体" w:hAnsi="宋体" w:cs="宋体"/>
                <w:b/>
                <w:bCs/>
                <w:sz w:val="20"/>
              </w:rPr>
            </w:pPr>
            <w:r>
              <w:rPr>
                <w:rFonts w:ascii="宋体" w:hAnsi="宋体" w:cs="宋体"/>
                <w:b/>
                <w:bCs/>
                <w:sz w:val="20"/>
              </w:rPr>
              <w:t>4</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8</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1146" w:type="pct"/>
            <w:gridSpan w:val="8"/>
            <w:vMerge w:val="continue"/>
            <w:vAlign w:val="center"/>
          </w:tcPr>
          <w:p>
            <w:pPr>
              <w:widowControl/>
              <w:rPr>
                <w:rFonts w:ascii="宋体" w:hAnsi="宋体" w:cs="宋体"/>
                <w:bCs/>
                <w:sz w:val="20"/>
              </w:rPr>
            </w:pPr>
          </w:p>
        </w:tc>
        <w:tc>
          <w:tcPr>
            <w:tcW w:w="1500" w:type="pct"/>
            <w:vAlign w:val="center"/>
          </w:tcPr>
          <w:p>
            <w:pPr>
              <w:widowControl/>
              <w:rPr>
                <w:rFonts w:ascii="宋体" w:hAnsi="宋体" w:cs="宋体"/>
                <w:bCs/>
                <w:sz w:val="20"/>
              </w:rPr>
            </w:pPr>
            <w:r>
              <w:rPr>
                <w:rFonts w:ascii="宋体" w:hAnsi="宋体" w:cs="宋体"/>
                <w:bCs/>
                <w:sz w:val="20"/>
              </w:rPr>
              <w:t>利用水生动、植物保障室外景观水体水质。</w:t>
            </w:r>
          </w:p>
        </w:tc>
        <w:tc>
          <w:tcPr>
            <w:tcW w:w="391" w:type="pct"/>
            <w:vAlign w:val="center"/>
          </w:tcPr>
          <w:p>
            <w:pPr>
              <w:widowControl/>
              <w:jc w:val="center"/>
              <w:rPr>
                <w:rFonts w:ascii="宋体" w:hAnsi="宋体" w:cs="宋体"/>
                <w:b/>
                <w:bCs/>
                <w:sz w:val="20"/>
              </w:rPr>
            </w:pPr>
            <w:r>
              <w:rPr>
                <w:rFonts w:ascii="宋体" w:hAnsi="宋体" w:cs="宋体"/>
                <w:b/>
                <w:bCs/>
                <w:sz w:val="20"/>
              </w:rPr>
              <w:t>4</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2646" w:type="pct"/>
            <w:gridSpan w:val="9"/>
            <w:vAlign w:val="center"/>
          </w:tcPr>
          <w:p>
            <w:pPr>
              <w:widowControl/>
              <w:rPr>
                <w:rFonts w:ascii="宋体" w:hAnsi="宋体" w:cs="宋体"/>
                <w:bCs/>
                <w:sz w:val="20"/>
              </w:rPr>
            </w:pPr>
            <w:r>
              <w:rPr>
                <w:rFonts w:ascii="宋体" w:hAnsi="宋体" w:cs="宋体"/>
                <w:bCs/>
                <w:sz w:val="20"/>
              </w:rPr>
              <w:t>未设置景观水体。</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7.2.13</w:t>
            </w:r>
          </w:p>
        </w:tc>
        <w:tc>
          <w:tcPr>
            <w:tcW w:w="512" w:type="pct"/>
            <w:vMerge w:val="restart"/>
            <w:shd w:val="clear" w:color="auto" w:fill="auto"/>
            <w:vAlign w:val="center"/>
          </w:tcPr>
          <w:p>
            <w:pPr>
              <w:widowControl/>
              <w:rPr>
                <w:rFonts w:ascii="宋体" w:hAnsi="宋体" w:cs="宋体"/>
                <w:bCs/>
                <w:sz w:val="20"/>
              </w:rPr>
            </w:pPr>
            <w:r>
              <w:rPr>
                <w:rFonts w:ascii="宋体" w:hAnsi="宋体" w:cs="宋体"/>
                <w:sz w:val="20"/>
              </w:rPr>
              <w:t>使用非传统水源。</w:t>
            </w:r>
          </w:p>
        </w:tc>
        <w:tc>
          <w:tcPr>
            <w:tcW w:w="2134" w:type="pct"/>
            <w:gridSpan w:val="8"/>
            <w:shd w:val="clear" w:color="auto" w:fill="auto"/>
            <w:vAlign w:val="center"/>
          </w:tcPr>
          <w:p>
            <w:pPr>
              <w:widowControl/>
              <w:rPr>
                <w:rFonts w:ascii="宋体" w:hAnsi="宋体" w:cs="宋体"/>
                <w:bCs/>
                <w:sz w:val="20"/>
              </w:rPr>
            </w:pPr>
            <w:r>
              <w:rPr>
                <w:rFonts w:ascii="宋体" w:hAnsi="宋体" w:cs="宋体"/>
                <w:bCs/>
                <w:sz w:val="20"/>
              </w:rPr>
              <w:t>绿化灌溉、车库及道路冲洗、洗车用水采用非传统水源的用水量占其总用水量的比例不低于40%，得3分；</w:t>
            </w:r>
          </w:p>
          <w:p>
            <w:pPr>
              <w:widowControl/>
              <w:rPr>
                <w:rFonts w:ascii="宋体" w:hAnsi="宋体" w:cs="宋体"/>
                <w:bCs/>
                <w:sz w:val="20"/>
              </w:rPr>
            </w:pPr>
            <w:r>
              <w:rPr>
                <w:rFonts w:ascii="宋体" w:hAnsi="宋体" w:cs="宋体"/>
                <w:bCs/>
                <w:sz w:val="20"/>
              </w:rPr>
              <w:t>绿化灌溉、车库及道路冲洗、洗车用水采用非传统水源的用水量占其总用水量的比例不低于60%，得5分。</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15</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widowControl/>
              <w:rPr>
                <w:rFonts w:ascii="宋体" w:hAnsi="宋体" w:cs="宋体"/>
                <w:bCs/>
                <w:sz w:val="20"/>
              </w:rPr>
            </w:pPr>
            <w:r>
              <w:rPr>
                <w:rFonts w:ascii="宋体" w:hAnsi="宋体" w:cs="宋体"/>
                <w:bCs/>
                <w:sz w:val="20"/>
              </w:rPr>
              <w:t>冲厕采用非传统水源的用水量占其总用水量的比例不低于30%，得3分；</w:t>
            </w:r>
          </w:p>
          <w:p>
            <w:pPr>
              <w:widowControl/>
              <w:rPr>
                <w:rFonts w:ascii="宋体" w:hAnsi="宋体" w:cs="宋体"/>
                <w:bCs/>
                <w:sz w:val="20"/>
              </w:rPr>
            </w:pPr>
            <w:r>
              <w:rPr>
                <w:rFonts w:ascii="宋体" w:hAnsi="宋体" w:cs="宋体"/>
                <w:bCs/>
                <w:sz w:val="20"/>
              </w:rPr>
              <w:t>冲厕采用非传统水源的用水量占其总用水量的比例不低于50%，得5分。</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widowControl/>
              <w:rPr>
                <w:rFonts w:ascii="宋体" w:hAnsi="宋体" w:cs="宋体"/>
                <w:bCs/>
                <w:sz w:val="20"/>
              </w:rPr>
            </w:pPr>
            <w:r>
              <w:rPr>
                <w:rFonts w:ascii="宋体" w:hAnsi="宋体" w:cs="宋体"/>
                <w:bCs/>
                <w:sz w:val="20"/>
              </w:rPr>
              <w:t>冷却水补水采用非传统水源的用水量占其总用水量的比例不低于20%，得3分；</w:t>
            </w:r>
          </w:p>
          <w:p>
            <w:pPr>
              <w:widowControl/>
              <w:rPr>
                <w:rFonts w:ascii="宋体" w:hAnsi="宋体" w:cs="宋体"/>
                <w:bCs/>
                <w:sz w:val="20"/>
              </w:rPr>
            </w:pPr>
            <w:r>
              <w:rPr>
                <w:rFonts w:ascii="宋体" w:hAnsi="宋体" w:cs="宋体"/>
                <w:bCs/>
                <w:sz w:val="20"/>
              </w:rPr>
              <w:t>冷却水补水采用非传统水源的用水量占其总用水量的比例不低于40%，得5分。</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7.2.14</w:t>
            </w:r>
          </w:p>
        </w:tc>
        <w:tc>
          <w:tcPr>
            <w:tcW w:w="2646" w:type="pct"/>
            <w:gridSpan w:val="9"/>
            <w:shd w:val="clear" w:color="auto" w:fill="auto"/>
            <w:vAlign w:val="center"/>
          </w:tcPr>
          <w:p>
            <w:pPr>
              <w:widowControl/>
              <w:rPr>
                <w:rFonts w:ascii="宋体" w:hAnsi="宋体" w:cs="宋体"/>
                <w:bCs/>
                <w:sz w:val="20"/>
              </w:rPr>
            </w:pPr>
            <w:r>
              <w:rPr>
                <w:rFonts w:ascii="宋体" w:hAnsi="宋体" w:cs="宋体"/>
                <w:sz w:val="20"/>
              </w:rPr>
              <w:t>建筑所有区域实施土建工程与装修工程一体化设计及施工。</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shd w:val="clear" w:color="auto" w:fill="auto"/>
            <w:vAlign w:val="center"/>
          </w:tcPr>
          <w:p>
            <w:pPr>
              <w:widowControl/>
              <w:jc w:val="center"/>
              <w:rPr>
                <w:rFonts w:ascii="宋体" w:hAnsi="宋体" w:cs="宋体"/>
                <w:b/>
                <w:bCs/>
                <w:sz w:val="20"/>
              </w:rPr>
            </w:pPr>
            <w:r>
              <w:rPr>
                <w:rFonts w:ascii="宋体" w:hAnsi="宋体" w:cs="宋体"/>
                <w:b/>
                <w:bCs/>
                <w:sz w:val="20"/>
              </w:rPr>
              <w:t>8</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7.2.15</w:t>
            </w:r>
          </w:p>
        </w:tc>
        <w:tc>
          <w:tcPr>
            <w:tcW w:w="512" w:type="pct"/>
            <w:vMerge w:val="restart"/>
            <w:shd w:val="clear" w:color="auto" w:fill="auto"/>
            <w:vAlign w:val="center"/>
          </w:tcPr>
          <w:p>
            <w:pPr>
              <w:widowControl/>
              <w:rPr>
                <w:rFonts w:ascii="宋体" w:hAnsi="宋体" w:cs="宋体"/>
                <w:bCs/>
                <w:sz w:val="20"/>
              </w:rPr>
            </w:pPr>
            <w:r>
              <w:rPr>
                <w:rFonts w:ascii="宋体" w:hAnsi="宋体" w:cs="宋体"/>
                <w:bCs/>
                <w:sz w:val="20"/>
              </w:rPr>
              <w:t>合理选用建筑结构材料与构建</w:t>
            </w:r>
          </w:p>
          <w:p>
            <w:pPr>
              <w:widowControl/>
              <w:rPr>
                <w:rFonts w:ascii="宋体" w:hAnsi="宋体" w:cs="宋体"/>
                <w:bCs/>
                <w:sz w:val="20"/>
              </w:rPr>
            </w:pPr>
            <w:r>
              <w:rPr>
                <w:rFonts w:ascii="宋体" w:hAnsi="宋体" w:cs="宋体"/>
                <w:bCs/>
                <w:sz w:val="20"/>
              </w:rPr>
              <w:t>。</w:t>
            </w:r>
          </w:p>
        </w:tc>
        <w:tc>
          <w:tcPr>
            <w:tcW w:w="503" w:type="pct"/>
            <w:gridSpan w:val="6"/>
            <w:vMerge w:val="restart"/>
            <w:shd w:val="clear" w:color="auto" w:fill="auto"/>
            <w:vAlign w:val="center"/>
          </w:tcPr>
          <w:p>
            <w:pPr>
              <w:widowControl/>
              <w:rPr>
                <w:rFonts w:ascii="宋体" w:hAnsi="宋体" w:cs="宋体"/>
                <w:bCs/>
                <w:sz w:val="20"/>
              </w:rPr>
            </w:pPr>
            <w:r>
              <w:rPr>
                <w:rFonts w:ascii="宋体" w:hAnsi="宋体" w:cs="宋体"/>
                <w:bCs/>
                <w:sz w:val="20"/>
              </w:rPr>
              <w:t>高强钢筋(□混凝土结构)</w:t>
            </w:r>
          </w:p>
        </w:tc>
        <w:tc>
          <w:tcPr>
            <w:tcW w:w="1631" w:type="pct"/>
            <w:gridSpan w:val="2"/>
            <w:shd w:val="clear" w:color="auto" w:fill="auto"/>
            <w:vAlign w:val="center"/>
          </w:tcPr>
          <w:p>
            <w:pPr>
              <w:rPr>
                <w:rFonts w:ascii="宋体" w:hAnsi="宋体" w:cs="宋体"/>
                <w:sz w:val="20"/>
              </w:rPr>
            </w:pPr>
            <w:r>
              <w:rPr>
                <w:rFonts w:ascii="宋体" w:hAnsi="宋体" w:cs="宋体"/>
                <w:sz w:val="20"/>
              </w:rPr>
              <w:t>400MPa级及以上强度等级钢筋应用比例达到85%。</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10</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503" w:type="pct"/>
            <w:gridSpan w:val="6"/>
            <w:vMerge w:val="continue"/>
            <w:vAlign w:val="center"/>
          </w:tcPr>
          <w:p>
            <w:pPr>
              <w:widowControl/>
              <w:rPr>
                <w:rFonts w:ascii="宋体" w:hAnsi="宋体" w:cs="宋体"/>
                <w:bCs/>
                <w:sz w:val="20"/>
              </w:rPr>
            </w:pPr>
          </w:p>
        </w:tc>
        <w:tc>
          <w:tcPr>
            <w:tcW w:w="1631" w:type="pct"/>
            <w:gridSpan w:val="2"/>
            <w:vAlign w:val="center"/>
          </w:tcPr>
          <w:p>
            <w:pPr>
              <w:rPr>
                <w:rFonts w:ascii="宋体" w:hAnsi="宋体" w:cs="宋体"/>
                <w:sz w:val="20"/>
              </w:rPr>
            </w:pPr>
            <w:r>
              <w:rPr>
                <w:rFonts w:ascii="宋体" w:hAnsi="宋体" w:cs="宋体"/>
                <w:sz w:val="20"/>
              </w:rPr>
              <w:t>混凝土竖向承重结构采用强度等级不小于C50混凝土用量占竖向承重结构中混凝土总量的比例达到50%。</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shd w:val="clear" w:color="auto" w:fill="auto"/>
            <w:vAlign w:val="center"/>
          </w:tcPr>
          <w:p>
            <w:pPr>
              <w:widowControl/>
              <w:rPr>
                <w:rFonts w:ascii="宋体" w:hAnsi="宋体" w:cs="宋体"/>
                <w:bCs/>
                <w:sz w:val="20"/>
              </w:rPr>
            </w:pPr>
          </w:p>
        </w:tc>
        <w:tc>
          <w:tcPr>
            <w:tcW w:w="503" w:type="pct"/>
            <w:gridSpan w:val="6"/>
            <w:vMerge w:val="restart"/>
            <w:shd w:val="clear" w:color="auto" w:fill="auto"/>
            <w:vAlign w:val="center"/>
          </w:tcPr>
          <w:p>
            <w:pPr>
              <w:rPr>
                <w:rFonts w:ascii="宋体" w:hAnsi="宋体" w:cs="宋体"/>
                <w:bCs/>
                <w:sz w:val="20"/>
              </w:rPr>
            </w:pPr>
            <w:r>
              <w:rPr>
                <w:rFonts w:ascii="宋体" w:hAnsi="宋体" w:cs="宋体"/>
                <w:bCs/>
                <w:sz w:val="20"/>
              </w:rPr>
              <w:t>高强钢筋(□钢结构)</w:t>
            </w:r>
          </w:p>
        </w:tc>
        <w:tc>
          <w:tcPr>
            <w:tcW w:w="1631" w:type="pct"/>
            <w:gridSpan w:val="2"/>
            <w:shd w:val="clear" w:color="auto" w:fill="auto"/>
            <w:vAlign w:val="center"/>
          </w:tcPr>
          <w:p>
            <w:pPr>
              <w:rPr>
                <w:rFonts w:ascii="宋体" w:hAnsi="宋体" w:cs="宋体"/>
                <w:sz w:val="20"/>
              </w:rPr>
            </w:pPr>
            <w:r>
              <w:rPr>
                <w:rFonts w:ascii="宋体" w:hAnsi="宋体" w:cs="宋体"/>
                <w:sz w:val="20"/>
              </w:rPr>
              <w:t>Q345及以上高强钢材用量占钢材总量的比例达到50%,得3分；</w:t>
            </w:r>
          </w:p>
          <w:p>
            <w:pPr>
              <w:rPr>
                <w:rFonts w:ascii="宋体" w:hAnsi="宋体" w:cs="宋体"/>
                <w:sz w:val="20"/>
              </w:rPr>
            </w:pPr>
            <w:r>
              <w:rPr>
                <w:rFonts w:ascii="宋体" w:hAnsi="宋体" w:cs="宋体"/>
                <w:sz w:val="20"/>
              </w:rPr>
              <w:t>Q345及以上高强钢材用量占钢材总量的比例达到70%,得4分。</w:t>
            </w:r>
          </w:p>
        </w:tc>
        <w:tc>
          <w:tcPr>
            <w:tcW w:w="391" w:type="pct"/>
            <w:vAlign w:val="center"/>
          </w:tcPr>
          <w:p>
            <w:pPr>
              <w:widowControl/>
              <w:jc w:val="center"/>
              <w:rPr>
                <w:rFonts w:ascii="宋体" w:hAnsi="宋体" w:cs="宋体"/>
                <w:b/>
                <w:bCs/>
                <w:sz w:val="20"/>
              </w:rPr>
            </w:pPr>
            <w:r>
              <w:rPr>
                <w:rFonts w:ascii="宋体" w:hAnsi="宋体" w:cs="宋体"/>
                <w:b/>
                <w:bCs/>
                <w:sz w:val="20"/>
              </w:rPr>
              <w:t>4</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503" w:type="pct"/>
            <w:gridSpan w:val="6"/>
            <w:vMerge w:val="continue"/>
            <w:vAlign w:val="center"/>
          </w:tcPr>
          <w:p>
            <w:pPr>
              <w:widowControl/>
              <w:rPr>
                <w:rFonts w:ascii="宋体" w:hAnsi="宋体" w:cs="宋体"/>
                <w:bCs/>
                <w:sz w:val="20"/>
              </w:rPr>
            </w:pPr>
          </w:p>
        </w:tc>
        <w:tc>
          <w:tcPr>
            <w:tcW w:w="1631" w:type="pct"/>
            <w:gridSpan w:val="2"/>
            <w:vAlign w:val="center"/>
          </w:tcPr>
          <w:p>
            <w:pPr>
              <w:rPr>
                <w:rFonts w:ascii="宋体" w:hAnsi="宋体" w:cs="宋体"/>
                <w:sz w:val="20"/>
              </w:rPr>
            </w:pPr>
            <w:r>
              <w:rPr>
                <w:rFonts w:ascii="宋体" w:hAnsi="宋体" w:cs="宋体"/>
                <w:sz w:val="20"/>
              </w:rPr>
              <w:t>螺栓连接等非现场焊接节点占现场全部连接、拼接节点的数量比例达到50%。</w:t>
            </w:r>
          </w:p>
        </w:tc>
        <w:tc>
          <w:tcPr>
            <w:tcW w:w="391" w:type="pct"/>
            <w:vAlign w:val="center"/>
          </w:tcPr>
          <w:p>
            <w:pPr>
              <w:widowControl/>
              <w:jc w:val="center"/>
              <w:rPr>
                <w:rFonts w:ascii="宋体" w:hAnsi="宋体" w:cs="宋体"/>
                <w:b/>
                <w:bCs/>
                <w:sz w:val="20"/>
              </w:rPr>
            </w:pPr>
            <w:r>
              <w:rPr>
                <w:rFonts w:ascii="宋体" w:hAnsi="宋体" w:cs="宋体"/>
                <w:b/>
                <w:bCs/>
                <w:sz w:val="20"/>
              </w:rPr>
              <w:t>4</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503" w:type="pct"/>
            <w:gridSpan w:val="6"/>
            <w:vMerge w:val="continue"/>
            <w:vAlign w:val="center"/>
          </w:tcPr>
          <w:p>
            <w:pPr>
              <w:widowControl/>
              <w:rPr>
                <w:rFonts w:ascii="宋体" w:hAnsi="宋体" w:cs="宋体"/>
                <w:bCs/>
                <w:sz w:val="20"/>
              </w:rPr>
            </w:pPr>
          </w:p>
        </w:tc>
        <w:tc>
          <w:tcPr>
            <w:tcW w:w="1631" w:type="pct"/>
            <w:gridSpan w:val="2"/>
            <w:vAlign w:val="center"/>
          </w:tcPr>
          <w:p>
            <w:pPr>
              <w:rPr>
                <w:rFonts w:ascii="宋体" w:hAnsi="宋体" w:cs="宋体"/>
                <w:sz w:val="20"/>
              </w:rPr>
            </w:pPr>
            <w:r>
              <w:rPr>
                <w:rFonts w:ascii="宋体" w:hAnsi="宋体" w:cs="宋体"/>
                <w:sz w:val="20"/>
              </w:rPr>
              <w:t>采用施工时免支撑的楼层面板。</w:t>
            </w:r>
          </w:p>
        </w:tc>
        <w:tc>
          <w:tcPr>
            <w:tcW w:w="391" w:type="pct"/>
            <w:vAlign w:val="center"/>
          </w:tcPr>
          <w:p>
            <w:pPr>
              <w:widowControl/>
              <w:jc w:val="center"/>
              <w:rPr>
                <w:rFonts w:ascii="宋体" w:hAnsi="宋体" w:cs="宋体"/>
                <w:b/>
                <w:bCs/>
                <w:sz w:val="20"/>
              </w:rPr>
            </w:pPr>
            <w:r>
              <w:rPr>
                <w:rFonts w:ascii="宋体" w:hAnsi="宋体" w:cs="宋体"/>
                <w:b/>
                <w:bCs/>
                <w:sz w:val="20"/>
              </w:rPr>
              <w:t>2</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shd w:val="clear" w:color="auto" w:fill="auto"/>
            <w:vAlign w:val="center"/>
          </w:tcPr>
          <w:p>
            <w:pPr>
              <w:widowControl/>
              <w:rPr>
                <w:rFonts w:ascii="宋体" w:hAnsi="宋体" w:cs="宋体"/>
                <w:bCs/>
                <w:sz w:val="20"/>
              </w:rPr>
            </w:pPr>
          </w:p>
        </w:tc>
        <w:tc>
          <w:tcPr>
            <w:tcW w:w="2134" w:type="pct"/>
            <w:gridSpan w:val="8"/>
            <w:shd w:val="clear" w:color="auto" w:fill="auto"/>
            <w:vAlign w:val="center"/>
          </w:tcPr>
          <w:p>
            <w:pPr>
              <w:widowControl/>
              <w:rPr>
                <w:rFonts w:ascii="宋体" w:hAnsi="宋体" w:cs="宋体"/>
                <w:sz w:val="20"/>
              </w:rPr>
            </w:pPr>
            <w:r>
              <w:rPr>
                <w:rFonts w:ascii="宋体" w:hAnsi="宋体" w:cs="宋体"/>
                <w:bCs/>
                <w:sz w:val="20"/>
              </w:rPr>
              <w:t>高强钢筋(□混合结构)</w:t>
            </w:r>
            <w:r>
              <w:rPr>
                <w:rFonts w:ascii="宋体" w:hAnsi="宋体" w:cs="宋体"/>
                <w:sz w:val="20"/>
              </w:rPr>
              <w:t xml:space="preserve"> </w:t>
            </w:r>
          </w:p>
          <w:p>
            <w:pPr>
              <w:widowControl/>
              <w:rPr>
                <w:rFonts w:ascii="宋体" w:hAnsi="宋体" w:cs="宋体"/>
                <w:bCs/>
                <w:sz w:val="20"/>
              </w:rPr>
            </w:pPr>
            <w:r>
              <w:rPr>
                <w:rFonts w:ascii="宋体" w:hAnsi="宋体" w:cs="宋体"/>
                <w:bCs/>
                <w:sz w:val="20"/>
              </w:rPr>
              <w:t>混凝土结构部分，10分</w:t>
            </w:r>
            <w:r>
              <w:rPr>
                <w:rFonts w:hint="eastAsia" w:ascii="宋体" w:hAnsi="宋体" w:cs="宋体"/>
                <w:bCs/>
                <w:sz w:val="20"/>
              </w:rPr>
              <w:t>；</w:t>
            </w:r>
          </w:p>
          <w:p>
            <w:pPr>
              <w:widowControl/>
              <w:rPr>
                <w:rFonts w:ascii="宋体" w:hAnsi="宋体" w:cs="宋体"/>
                <w:bCs/>
                <w:sz w:val="20"/>
              </w:rPr>
            </w:pPr>
            <w:r>
              <w:rPr>
                <w:rFonts w:ascii="宋体" w:hAnsi="宋体" w:cs="宋体"/>
                <w:bCs/>
                <w:sz w:val="20"/>
              </w:rPr>
              <w:t>钢结构部分，10分</w:t>
            </w:r>
            <w:r>
              <w:rPr>
                <w:rFonts w:hint="eastAsia" w:ascii="宋体" w:hAnsi="宋体" w:cs="宋体"/>
                <w:bCs/>
                <w:sz w:val="20"/>
              </w:rPr>
              <w:t>；</w:t>
            </w:r>
          </w:p>
          <w:p>
            <w:pPr>
              <w:widowControl/>
              <w:rPr>
                <w:rFonts w:ascii="宋体" w:hAnsi="宋体" w:cs="宋体"/>
                <w:bCs/>
                <w:sz w:val="20"/>
              </w:rPr>
            </w:pPr>
            <w:r>
              <w:rPr>
                <w:rFonts w:ascii="宋体" w:hAnsi="宋体" w:cs="宋体"/>
                <w:bCs/>
                <w:sz w:val="20"/>
              </w:rPr>
              <w:t>合计（取平均值），10分</w:t>
            </w:r>
            <w:r>
              <w:rPr>
                <w:rFonts w:hint="eastAsia" w:ascii="宋体" w:hAnsi="宋体" w:cs="宋体"/>
                <w:bCs/>
                <w:sz w:val="20"/>
              </w:rPr>
              <w:t>；</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7.2.16</w:t>
            </w:r>
          </w:p>
        </w:tc>
        <w:tc>
          <w:tcPr>
            <w:tcW w:w="2646" w:type="pct"/>
            <w:gridSpan w:val="9"/>
            <w:shd w:val="clear" w:color="auto" w:fill="auto"/>
            <w:vAlign w:val="center"/>
          </w:tcPr>
          <w:p>
            <w:pPr>
              <w:widowControl/>
              <w:rPr>
                <w:rFonts w:ascii="宋体" w:hAnsi="宋体" w:cs="宋体"/>
                <w:sz w:val="20"/>
              </w:rPr>
            </w:pPr>
            <w:r>
              <w:rPr>
                <w:rFonts w:ascii="宋体" w:hAnsi="宋体" w:cs="宋体"/>
                <w:sz w:val="20"/>
              </w:rPr>
              <w:t>建筑装修选用工业化内装部品：</w:t>
            </w:r>
          </w:p>
          <w:p>
            <w:pPr>
              <w:widowControl/>
              <w:rPr>
                <w:rFonts w:ascii="宋体" w:hAnsi="宋体" w:cs="宋体"/>
              </w:rPr>
            </w:pPr>
            <w:r>
              <w:rPr>
                <w:rFonts w:ascii="宋体" w:hAnsi="宋体" w:cs="宋体"/>
                <w:sz w:val="20"/>
              </w:rPr>
              <w:t>建筑装修选用工业化内装部品占同类部品用量比例达到50%以上的部品种类，达到1种，得3分；达到3种，得5分；达到3种以上，得8分。</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Align w:val="center"/>
          </w:tcPr>
          <w:p>
            <w:pPr>
              <w:widowControl/>
              <w:jc w:val="center"/>
              <w:rPr>
                <w:rFonts w:ascii="宋体" w:hAnsi="宋体" w:cs="宋体"/>
                <w:b/>
                <w:bCs/>
                <w:sz w:val="20"/>
              </w:rPr>
            </w:pPr>
            <w:r>
              <w:rPr>
                <w:rFonts w:ascii="宋体" w:hAnsi="宋体" w:cs="宋体"/>
                <w:b/>
                <w:bCs/>
                <w:sz w:val="20"/>
              </w:rPr>
              <w:t>8</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7.2.17</w:t>
            </w:r>
          </w:p>
        </w:tc>
        <w:tc>
          <w:tcPr>
            <w:tcW w:w="512" w:type="pct"/>
            <w:vMerge w:val="restart"/>
            <w:shd w:val="clear" w:color="auto" w:fill="auto"/>
            <w:vAlign w:val="center"/>
          </w:tcPr>
          <w:p>
            <w:pPr>
              <w:widowControl/>
              <w:rPr>
                <w:rFonts w:ascii="宋体" w:hAnsi="宋体" w:cs="宋体"/>
                <w:bCs/>
                <w:sz w:val="20"/>
              </w:rPr>
            </w:pPr>
            <w:r>
              <w:rPr>
                <w:rFonts w:ascii="宋体" w:hAnsi="宋体" w:cs="宋体"/>
                <w:bCs/>
                <w:sz w:val="20"/>
              </w:rPr>
              <w:t>可再循环材料、可再利用材料</w:t>
            </w:r>
          </w:p>
        </w:tc>
        <w:tc>
          <w:tcPr>
            <w:tcW w:w="2134" w:type="pct"/>
            <w:gridSpan w:val="8"/>
            <w:shd w:val="clear" w:color="auto" w:fill="auto"/>
            <w:vAlign w:val="center"/>
          </w:tcPr>
          <w:p>
            <w:pPr>
              <w:widowControl/>
              <w:rPr>
                <w:rFonts w:ascii="宋体" w:hAnsi="宋体" w:cs="宋体"/>
                <w:bCs/>
                <w:sz w:val="20"/>
              </w:rPr>
            </w:pPr>
            <w:r>
              <w:rPr>
                <w:rFonts w:ascii="宋体" w:hAnsi="宋体" w:cs="宋体"/>
                <w:bCs/>
                <w:sz w:val="20"/>
              </w:rPr>
              <w:t>住宅建筑6%,得3分；10%，得6分。</w:t>
            </w:r>
          </w:p>
        </w:tc>
        <w:tc>
          <w:tcPr>
            <w:tcW w:w="391" w:type="pct"/>
            <w:vMerge w:val="restart"/>
            <w:vAlign w:val="center"/>
          </w:tcPr>
          <w:p>
            <w:pPr>
              <w:widowControl/>
              <w:jc w:val="center"/>
              <w:rPr>
                <w:rFonts w:ascii="宋体" w:hAnsi="宋体" w:cs="宋体"/>
                <w:b/>
                <w:bCs/>
                <w:sz w:val="20"/>
              </w:rPr>
            </w:pPr>
            <w:r>
              <w:rPr>
                <w:rFonts w:ascii="宋体" w:hAnsi="宋体" w:cs="宋体"/>
                <w:b/>
                <w:bCs/>
                <w:sz w:val="20"/>
              </w:rPr>
              <w:t>6</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12</w:t>
            </w:r>
          </w:p>
        </w:tc>
        <w:tc>
          <w:tcPr>
            <w:tcW w:w="455" w:type="pct"/>
            <w:vMerge w:val="restar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55" w:type="pct"/>
            <w:vMerge w:val="continue"/>
            <w:vAlign w:val="center"/>
          </w:tcPr>
          <w:p>
            <w:pPr>
              <w:widowControl/>
              <w:rPr>
                <w:rFonts w:ascii="宋体" w:hAnsi="宋体" w:cs="宋体"/>
                <w:sz w:val="20"/>
              </w:rPr>
            </w:pPr>
          </w:p>
        </w:tc>
        <w:tc>
          <w:tcPr>
            <w:tcW w:w="492" w:type="pct"/>
            <w:vMerge w:val="continue"/>
            <w:shd w:val="clear" w:color="auto" w:fill="auto"/>
            <w:noWrap/>
            <w:vAlign w:val="center"/>
          </w:tcPr>
          <w:p>
            <w:pPr>
              <w:widowControl/>
              <w:rPr>
                <w:rFonts w:ascii="宋体" w:hAnsi="宋体" w:cs="宋体"/>
                <w:sz w:val="20"/>
              </w:rPr>
            </w:pPr>
          </w:p>
        </w:tc>
        <w:tc>
          <w:tcPr>
            <w:tcW w:w="512" w:type="pct"/>
            <w:vMerge w:val="continue"/>
            <w:shd w:val="clear" w:color="auto" w:fill="auto"/>
            <w:vAlign w:val="center"/>
          </w:tcPr>
          <w:p>
            <w:pPr>
              <w:widowControl/>
              <w:rPr>
                <w:rFonts w:ascii="宋体" w:hAnsi="宋体" w:cs="宋体"/>
                <w:bCs/>
                <w:sz w:val="20"/>
              </w:rPr>
            </w:pPr>
          </w:p>
        </w:tc>
        <w:tc>
          <w:tcPr>
            <w:tcW w:w="2134" w:type="pct"/>
            <w:gridSpan w:val="8"/>
            <w:shd w:val="clear" w:color="auto" w:fill="auto"/>
            <w:vAlign w:val="center"/>
          </w:tcPr>
          <w:p>
            <w:pPr>
              <w:widowControl/>
              <w:rPr>
                <w:rFonts w:ascii="宋体" w:hAnsi="宋体" w:cs="宋体"/>
                <w:bCs/>
                <w:sz w:val="20"/>
              </w:rPr>
            </w:pPr>
            <w:r>
              <w:rPr>
                <w:rFonts w:ascii="宋体" w:hAnsi="宋体" w:cs="宋体"/>
                <w:bCs/>
                <w:sz w:val="20"/>
              </w:rPr>
              <w:t>公共建筑10%,得3分；15%，得6分。</w:t>
            </w:r>
          </w:p>
        </w:tc>
        <w:tc>
          <w:tcPr>
            <w:tcW w:w="391" w:type="pct"/>
            <w:vMerge w:val="continue"/>
            <w:vAlign w:val="center"/>
          </w:tcPr>
          <w:p>
            <w:pPr>
              <w:widowControl/>
              <w:jc w:val="center"/>
              <w:rPr>
                <w:rFonts w:ascii="宋体" w:hAnsi="宋体" w:cs="宋体"/>
                <w:b/>
                <w:bCs/>
                <w:sz w:val="20"/>
              </w:rPr>
            </w:pPr>
          </w:p>
        </w:tc>
        <w:tc>
          <w:tcPr>
            <w:tcW w:w="375" w:type="pct"/>
            <w:vMerge w:val="continue"/>
            <w:shd w:val="clear" w:color="auto" w:fill="auto"/>
            <w:vAlign w:val="center"/>
          </w:tcPr>
          <w:p>
            <w:pPr>
              <w:widowControl/>
              <w:jc w:val="center"/>
              <w:rPr>
                <w:rFonts w:ascii="宋体" w:hAnsi="宋体" w:cs="宋体"/>
                <w:b/>
                <w:bCs/>
                <w:sz w:val="20"/>
              </w:rPr>
            </w:pPr>
          </w:p>
        </w:tc>
        <w:tc>
          <w:tcPr>
            <w:tcW w:w="455" w:type="pct"/>
            <w:vMerge w:val="continue"/>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shd w:val="clear" w:color="auto" w:fill="auto"/>
            <w:vAlign w:val="center"/>
          </w:tcPr>
          <w:p>
            <w:pPr>
              <w:widowControl/>
              <w:jc w:val="center"/>
              <w:rPr>
                <w:rFonts w:ascii="宋体" w:hAnsi="宋体" w:cs="宋体"/>
                <w:bCs/>
                <w:sz w:val="20"/>
              </w:rPr>
            </w:pPr>
            <w:r>
              <w:rPr>
                <w:rFonts w:ascii="宋体" w:hAnsi="宋体" w:cs="宋体"/>
                <w:bCs/>
                <w:sz w:val="20"/>
              </w:rPr>
              <w:t>利废</w:t>
            </w:r>
          </w:p>
          <w:p>
            <w:pPr>
              <w:widowControl/>
              <w:jc w:val="center"/>
              <w:rPr>
                <w:rFonts w:ascii="宋体" w:hAnsi="宋体" w:cs="宋体"/>
                <w:bCs/>
                <w:sz w:val="20"/>
              </w:rPr>
            </w:pPr>
            <w:r>
              <w:rPr>
                <w:rFonts w:ascii="宋体" w:hAnsi="宋体" w:cs="宋体"/>
                <w:bCs/>
                <w:sz w:val="20"/>
              </w:rPr>
              <w:t>建材</w:t>
            </w:r>
          </w:p>
        </w:tc>
        <w:tc>
          <w:tcPr>
            <w:tcW w:w="2134" w:type="pct"/>
            <w:gridSpan w:val="8"/>
            <w:shd w:val="clear" w:color="auto" w:fill="auto"/>
            <w:vAlign w:val="center"/>
          </w:tcPr>
          <w:p>
            <w:pPr>
              <w:widowControl/>
              <w:rPr>
                <w:rFonts w:ascii="宋体" w:hAnsi="宋体" w:cs="宋体"/>
                <w:bCs/>
                <w:sz w:val="20"/>
              </w:rPr>
            </w:pPr>
            <w:r>
              <w:rPr>
                <w:rFonts w:ascii="宋体" w:hAnsi="宋体" w:cs="宋体"/>
                <w:bCs/>
                <w:sz w:val="20"/>
              </w:rPr>
              <w:t>采用一种利废建材，其占同类建材的用量比例不低于50%，得3分；</w:t>
            </w:r>
          </w:p>
          <w:p>
            <w:pPr>
              <w:widowControl/>
              <w:rPr>
                <w:rFonts w:ascii="宋体" w:hAnsi="宋体" w:cs="宋体"/>
                <w:bCs/>
                <w:sz w:val="20"/>
              </w:rPr>
            </w:pPr>
            <w:r>
              <w:rPr>
                <w:rFonts w:ascii="宋体" w:hAnsi="宋体" w:cs="宋体"/>
                <w:bCs/>
                <w:sz w:val="20"/>
              </w:rPr>
              <w:t>采用二种及以上的利废建材，每一种占同类建材的用量比例均不低于30%，得6分。</w:t>
            </w:r>
          </w:p>
        </w:tc>
        <w:tc>
          <w:tcPr>
            <w:tcW w:w="391" w:type="pct"/>
            <w:vAlign w:val="center"/>
          </w:tcPr>
          <w:p>
            <w:pPr>
              <w:widowControl/>
              <w:jc w:val="center"/>
              <w:rPr>
                <w:rFonts w:ascii="宋体" w:hAnsi="宋体" w:cs="宋体"/>
                <w:b/>
                <w:bCs/>
                <w:sz w:val="20"/>
              </w:rPr>
            </w:pPr>
            <w:r>
              <w:rPr>
                <w:rFonts w:ascii="宋体" w:hAnsi="宋体" w:cs="宋体"/>
                <w:b/>
                <w:bCs/>
                <w:sz w:val="20"/>
              </w:rPr>
              <w:t>6</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7.2.18</w:t>
            </w:r>
          </w:p>
        </w:tc>
        <w:tc>
          <w:tcPr>
            <w:tcW w:w="512" w:type="pct"/>
            <w:shd w:val="clear" w:color="auto" w:fill="auto"/>
            <w:vAlign w:val="center"/>
          </w:tcPr>
          <w:p>
            <w:pPr>
              <w:widowControl/>
              <w:jc w:val="center"/>
              <w:rPr>
                <w:rFonts w:ascii="宋体" w:hAnsi="宋体" w:cs="宋体"/>
                <w:bCs/>
                <w:sz w:val="20"/>
              </w:rPr>
            </w:pPr>
            <w:r>
              <w:rPr>
                <w:rFonts w:ascii="宋体" w:hAnsi="宋体" w:cs="宋体"/>
                <w:bCs/>
                <w:sz w:val="20"/>
              </w:rPr>
              <w:t>绿色</w:t>
            </w:r>
          </w:p>
          <w:p>
            <w:pPr>
              <w:widowControl/>
              <w:jc w:val="center"/>
              <w:rPr>
                <w:rFonts w:ascii="宋体" w:hAnsi="宋体" w:cs="宋体"/>
                <w:bCs/>
                <w:sz w:val="20"/>
              </w:rPr>
            </w:pPr>
            <w:r>
              <w:rPr>
                <w:rFonts w:ascii="宋体" w:hAnsi="宋体" w:cs="宋体"/>
                <w:bCs/>
                <w:sz w:val="20"/>
              </w:rPr>
              <w:t>建材</w:t>
            </w:r>
          </w:p>
        </w:tc>
        <w:tc>
          <w:tcPr>
            <w:tcW w:w="2134" w:type="pct"/>
            <w:gridSpan w:val="8"/>
            <w:shd w:val="clear" w:color="auto" w:fill="auto"/>
            <w:vAlign w:val="center"/>
          </w:tcPr>
          <w:p>
            <w:pPr>
              <w:widowControl/>
              <w:rPr>
                <w:rFonts w:ascii="宋体" w:hAnsi="宋体" w:cs="宋体"/>
                <w:bCs/>
                <w:sz w:val="20"/>
              </w:rPr>
            </w:pPr>
            <w:r>
              <w:rPr>
                <w:rFonts w:ascii="宋体" w:hAnsi="宋体" w:cs="宋体"/>
                <w:bCs/>
                <w:sz w:val="20"/>
              </w:rPr>
              <w:t>绿色建材应用比例不低于30%，得4分；</w:t>
            </w:r>
          </w:p>
          <w:p>
            <w:pPr>
              <w:widowControl/>
              <w:rPr>
                <w:rFonts w:ascii="宋体" w:hAnsi="宋体" w:cs="宋体"/>
                <w:bCs/>
                <w:sz w:val="20"/>
              </w:rPr>
            </w:pPr>
            <w:r>
              <w:rPr>
                <w:rFonts w:ascii="宋体" w:hAnsi="宋体" w:cs="宋体"/>
                <w:bCs/>
                <w:sz w:val="20"/>
              </w:rPr>
              <w:t>绿色建材应用比例不低于50%，得8分；</w:t>
            </w:r>
          </w:p>
          <w:p>
            <w:pPr>
              <w:widowControl/>
              <w:rPr>
                <w:rFonts w:ascii="宋体" w:hAnsi="宋体" w:cs="宋体"/>
                <w:bCs/>
                <w:sz w:val="20"/>
              </w:rPr>
            </w:pPr>
            <w:r>
              <w:rPr>
                <w:rFonts w:ascii="宋体" w:hAnsi="宋体" w:cs="宋体"/>
                <w:bCs/>
                <w:sz w:val="20"/>
              </w:rPr>
              <w:t>绿色建材应用比例不低于70%，得12分。</w:t>
            </w:r>
          </w:p>
        </w:tc>
        <w:tc>
          <w:tcPr>
            <w:tcW w:w="391" w:type="pct"/>
            <w:vAlign w:val="center"/>
          </w:tcPr>
          <w:p>
            <w:pPr>
              <w:widowControl/>
              <w:jc w:val="center"/>
              <w:rPr>
                <w:rFonts w:ascii="宋体" w:hAnsi="宋体" w:cs="宋体"/>
                <w:b/>
                <w:bCs/>
                <w:sz w:val="20"/>
              </w:rPr>
            </w:pPr>
            <w:r>
              <w:rPr>
                <w:rFonts w:ascii="宋体" w:hAnsi="宋体" w:cs="宋体"/>
                <w:b/>
                <w:bCs/>
                <w:sz w:val="20"/>
              </w:rPr>
              <w:t>12</w:t>
            </w:r>
          </w:p>
        </w:tc>
        <w:tc>
          <w:tcPr>
            <w:tcW w:w="375" w:type="pct"/>
            <w:shd w:val="clear" w:color="auto" w:fill="auto"/>
            <w:vAlign w:val="center"/>
          </w:tcPr>
          <w:p>
            <w:pPr>
              <w:widowControl/>
              <w:jc w:val="center"/>
              <w:rPr>
                <w:rFonts w:ascii="宋体" w:hAnsi="宋体" w:cs="宋体"/>
                <w:b/>
                <w:bCs/>
                <w:sz w:val="20"/>
              </w:rPr>
            </w:pPr>
            <w:r>
              <w:rPr>
                <w:rFonts w:ascii="宋体" w:hAnsi="宋体" w:cs="宋体"/>
                <w:b/>
                <w:bCs/>
                <w:sz w:val="20"/>
              </w:rPr>
              <w:t>12</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restart"/>
            <w:vAlign w:val="center"/>
          </w:tcPr>
          <w:p>
            <w:pPr>
              <w:widowControl/>
              <w:rPr>
                <w:rFonts w:ascii="宋体" w:hAnsi="宋体" w:cs="宋体"/>
                <w:sz w:val="20"/>
              </w:rPr>
            </w:pPr>
            <w:r>
              <w:rPr>
                <w:rFonts w:ascii="宋体" w:hAnsi="宋体" w:cs="宋体"/>
                <w:sz w:val="20"/>
              </w:rPr>
              <w:t>环境宜居</w:t>
            </w:r>
          </w:p>
        </w:tc>
        <w:tc>
          <w:tcPr>
            <w:tcW w:w="492" w:type="pct"/>
            <w:shd w:val="clear" w:color="auto" w:fill="auto"/>
            <w:noWrap/>
            <w:vAlign w:val="center"/>
          </w:tcPr>
          <w:p>
            <w:pPr>
              <w:widowControl/>
              <w:rPr>
                <w:rFonts w:ascii="宋体" w:hAnsi="宋体" w:cs="宋体"/>
                <w:sz w:val="20"/>
              </w:rPr>
            </w:pPr>
            <w:r>
              <w:rPr>
                <w:rFonts w:ascii="宋体" w:hAnsi="宋体" w:cs="宋体"/>
                <w:sz w:val="20"/>
              </w:rPr>
              <w:t>8.1.1</w:t>
            </w:r>
          </w:p>
        </w:tc>
        <w:tc>
          <w:tcPr>
            <w:tcW w:w="2646" w:type="pct"/>
            <w:gridSpan w:val="9"/>
            <w:shd w:val="clear" w:color="auto" w:fill="auto"/>
            <w:vAlign w:val="center"/>
          </w:tcPr>
          <w:p>
            <w:pPr>
              <w:rPr>
                <w:rFonts w:ascii="宋体" w:hAnsi="宋体" w:cs="宋体"/>
                <w:sz w:val="20"/>
              </w:rPr>
            </w:pPr>
            <w:r>
              <w:rPr>
                <w:rFonts w:ascii="宋体" w:hAnsi="宋体" w:cs="宋体"/>
                <w:sz w:val="20"/>
              </w:rPr>
              <w:t>建筑规划布局应满足日照标准，且不得降低周边建筑的日照标准。</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8.1.2</w:t>
            </w:r>
          </w:p>
        </w:tc>
        <w:tc>
          <w:tcPr>
            <w:tcW w:w="2646" w:type="pct"/>
            <w:gridSpan w:val="9"/>
            <w:shd w:val="clear" w:color="auto" w:fill="auto"/>
            <w:vAlign w:val="center"/>
          </w:tcPr>
          <w:p>
            <w:pPr>
              <w:rPr>
                <w:rFonts w:ascii="宋体" w:hAnsi="宋体" w:cs="宋体"/>
                <w:sz w:val="20"/>
              </w:rPr>
            </w:pPr>
            <w:r>
              <w:rPr>
                <w:rFonts w:ascii="宋体" w:hAnsi="宋体" w:cs="宋体"/>
                <w:sz w:val="20"/>
              </w:rPr>
              <w:t>室外热环境应满足国家现行有关标准的要求。</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8.1.3</w:t>
            </w:r>
          </w:p>
        </w:tc>
        <w:tc>
          <w:tcPr>
            <w:tcW w:w="2646" w:type="pct"/>
            <w:gridSpan w:val="9"/>
            <w:shd w:val="clear" w:color="auto" w:fill="auto"/>
            <w:vAlign w:val="center"/>
          </w:tcPr>
          <w:p>
            <w:pPr>
              <w:rPr>
                <w:rFonts w:ascii="宋体" w:hAnsi="宋体" w:cs="宋体"/>
                <w:sz w:val="20"/>
              </w:rPr>
            </w:pPr>
            <w:r>
              <w:rPr>
                <w:rFonts w:ascii="宋体" w:hAnsi="宋体" w:cs="宋体"/>
                <w:sz w:val="20"/>
              </w:rPr>
              <w:t>配建的绿地应符合所在地城乡规划的要求，应合理选择绿化方式，植物种植应适应当地气候和土壤，且应无毒害、易维护，种植区域覆土深度和排水能力应满足植物生产需求，并应采用复层绿化方式。</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8.1.4</w:t>
            </w:r>
          </w:p>
        </w:tc>
        <w:tc>
          <w:tcPr>
            <w:tcW w:w="2646" w:type="pct"/>
            <w:gridSpan w:val="9"/>
            <w:shd w:val="clear" w:color="auto" w:fill="auto"/>
            <w:vAlign w:val="center"/>
          </w:tcPr>
          <w:p>
            <w:pPr>
              <w:rPr>
                <w:rFonts w:ascii="宋体" w:hAnsi="宋体" w:cs="宋体"/>
                <w:sz w:val="20"/>
              </w:rPr>
            </w:pPr>
            <w:r>
              <w:rPr>
                <w:rFonts w:ascii="宋体" w:hAnsi="宋体" w:cs="宋体"/>
                <w:sz w:val="20"/>
              </w:rPr>
              <w:t>场地的竖向设计应有利于雨水的收集或排放，应有效组织雨水的下渗、滞蓄或再利用；对大于10hm</w:t>
            </w:r>
            <w:r>
              <w:rPr>
                <w:rFonts w:ascii="宋体" w:hAnsi="宋体" w:cs="宋体"/>
                <w:sz w:val="20"/>
                <w:vertAlign w:val="superscript"/>
              </w:rPr>
              <w:t>2</w:t>
            </w:r>
            <w:r>
              <w:rPr>
                <w:rFonts w:ascii="宋体" w:hAnsi="宋体" w:cs="宋体"/>
                <w:sz w:val="20"/>
              </w:rPr>
              <w:t>的场地应进行雨水控制利用专项设计。</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8.1.5</w:t>
            </w:r>
          </w:p>
        </w:tc>
        <w:tc>
          <w:tcPr>
            <w:tcW w:w="2646" w:type="pct"/>
            <w:gridSpan w:val="9"/>
            <w:shd w:val="clear" w:color="auto" w:fill="auto"/>
            <w:vAlign w:val="center"/>
          </w:tcPr>
          <w:p>
            <w:pPr>
              <w:rPr>
                <w:rFonts w:ascii="宋体" w:hAnsi="宋体" w:cs="宋体"/>
                <w:sz w:val="20"/>
              </w:rPr>
            </w:pPr>
            <w:r>
              <w:rPr>
                <w:rFonts w:ascii="宋体" w:hAnsi="宋体" w:cs="宋体"/>
                <w:sz w:val="20"/>
              </w:rPr>
              <w:t>建筑内外均应设置便于识别和使用的标识系统。</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8.1.6</w:t>
            </w:r>
          </w:p>
        </w:tc>
        <w:tc>
          <w:tcPr>
            <w:tcW w:w="2646" w:type="pct"/>
            <w:gridSpan w:val="9"/>
            <w:shd w:val="clear" w:color="auto" w:fill="auto"/>
            <w:vAlign w:val="center"/>
          </w:tcPr>
          <w:p>
            <w:pPr>
              <w:rPr>
                <w:rFonts w:ascii="宋体" w:hAnsi="宋体" w:cs="宋体"/>
                <w:sz w:val="20"/>
              </w:rPr>
            </w:pPr>
            <w:r>
              <w:rPr>
                <w:rFonts w:ascii="宋体" w:hAnsi="宋体" w:cs="宋体"/>
                <w:sz w:val="20"/>
              </w:rPr>
              <w:t>场地内不应有排放超标的污染源。</w:t>
            </w:r>
          </w:p>
        </w:tc>
        <w:tc>
          <w:tcPr>
            <w:tcW w:w="766" w:type="pct"/>
            <w:gridSpan w:val="2"/>
            <w:vAlign w:val="center"/>
          </w:tcPr>
          <w:p>
            <w:pPr>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8.1.7</w:t>
            </w:r>
          </w:p>
        </w:tc>
        <w:tc>
          <w:tcPr>
            <w:tcW w:w="2646" w:type="pct"/>
            <w:gridSpan w:val="9"/>
            <w:shd w:val="clear" w:color="auto" w:fill="auto"/>
            <w:vAlign w:val="center"/>
          </w:tcPr>
          <w:p>
            <w:pPr>
              <w:rPr>
                <w:rFonts w:ascii="宋体" w:hAnsi="宋体" w:cs="宋体"/>
                <w:sz w:val="20"/>
              </w:rPr>
            </w:pPr>
            <w:r>
              <w:rPr>
                <w:rFonts w:ascii="宋体" w:hAnsi="宋体" w:cs="宋体"/>
                <w:sz w:val="20"/>
              </w:rPr>
              <w:t>生活垃圾应分类收集，垃圾容器和收集点的设置应合理并应与周围景观协调。</w:t>
            </w:r>
          </w:p>
        </w:tc>
        <w:tc>
          <w:tcPr>
            <w:tcW w:w="766" w:type="pct"/>
            <w:gridSpan w:val="2"/>
            <w:vAlign w:val="center"/>
          </w:tcPr>
          <w:p>
            <w:pPr>
              <w:widowControl/>
              <w:jc w:val="center"/>
              <w:rPr>
                <w:rFonts w:ascii="宋体" w:hAnsi="宋体" w:cs="宋体"/>
                <w:b/>
                <w:bCs/>
                <w:sz w:val="20"/>
              </w:rPr>
            </w:pPr>
            <w:r>
              <w:rPr>
                <w:rFonts w:ascii="宋体" w:hAnsi="宋体" w:cs="宋体"/>
                <w:b/>
                <w:bCs/>
                <w:sz w:val="20"/>
              </w:rPr>
              <w:t>控制项</w:t>
            </w:r>
          </w:p>
        </w:tc>
        <w:tc>
          <w:tcPr>
            <w:tcW w:w="455" w:type="pct"/>
            <w:vAlign w:val="center"/>
          </w:tcPr>
          <w:p>
            <w:pPr>
              <w:widowControl/>
              <w:ind w:left="-63" w:leftChars="-30" w:right="-105" w:rightChars="-50"/>
              <w:rPr>
                <w:rFonts w:ascii="宋体" w:hAnsi="宋体" w:cs="宋体"/>
                <w:szCs w:val="21"/>
              </w:rPr>
            </w:pPr>
            <w:r>
              <w:rPr>
                <w:rFonts w:ascii="宋体" w:hAnsi="宋体" w:cs="宋体"/>
                <w:szCs w:val="21"/>
              </w:rPr>
              <w:t>□</w:t>
            </w:r>
            <w:r>
              <w:rPr>
                <w:rFonts w:hint="eastAsia" w:ascii="宋体" w:hAnsi="宋体" w:cs="宋体"/>
                <w:szCs w:val="21"/>
              </w:rPr>
              <w:t>满足</w:t>
            </w: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8.2.1</w:t>
            </w:r>
          </w:p>
        </w:tc>
        <w:tc>
          <w:tcPr>
            <w:tcW w:w="512" w:type="pct"/>
            <w:vMerge w:val="restart"/>
            <w:shd w:val="clear" w:color="auto" w:fill="auto"/>
            <w:vAlign w:val="center"/>
          </w:tcPr>
          <w:p>
            <w:pPr>
              <w:widowControl/>
              <w:rPr>
                <w:rFonts w:ascii="宋体" w:hAnsi="宋体" w:cs="宋体"/>
                <w:bCs/>
                <w:sz w:val="20"/>
              </w:rPr>
            </w:pPr>
            <w:r>
              <w:rPr>
                <w:rFonts w:ascii="宋体" w:hAnsi="宋体" w:cs="宋体"/>
                <w:sz w:val="20"/>
              </w:rPr>
              <w:t>充分保护或修复场地生态环境，合理布局建筑及景观。</w:t>
            </w:r>
          </w:p>
        </w:tc>
        <w:tc>
          <w:tcPr>
            <w:tcW w:w="2134" w:type="pct"/>
            <w:gridSpan w:val="8"/>
            <w:shd w:val="clear" w:color="auto" w:fill="auto"/>
            <w:vAlign w:val="center"/>
          </w:tcPr>
          <w:p>
            <w:pPr>
              <w:rPr>
                <w:rFonts w:ascii="宋体" w:hAnsi="宋体" w:cs="宋体"/>
                <w:sz w:val="20"/>
              </w:rPr>
            </w:pPr>
            <w:r>
              <w:rPr>
                <w:rFonts w:ascii="宋体" w:hAnsi="宋体" w:cs="宋体"/>
                <w:sz w:val="20"/>
              </w:rPr>
              <w:t>保护场地内原有的自然水域、湿地、植被等，保持场地内的生态系统与场地外生态系统的连贯性。</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10</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采取净地表层土回收利用等生态补偿措施。</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根据场地实际状况，采取其他生态恢复或补偿措施。</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8.2.2</w:t>
            </w:r>
          </w:p>
        </w:tc>
        <w:tc>
          <w:tcPr>
            <w:tcW w:w="2646" w:type="pct"/>
            <w:gridSpan w:val="9"/>
            <w:shd w:val="clear" w:color="auto" w:fill="auto"/>
            <w:vAlign w:val="center"/>
          </w:tcPr>
          <w:p>
            <w:pPr>
              <w:widowControl/>
              <w:rPr>
                <w:rFonts w:ascii="宋体" w:hAnsi="宋体" w:cs="宋体"/>
                <w:bCs/>
                <w:sz w:val="20"/>
              </w:rPr>
            </w:pPr>
            <w:r>
              <w:rPr>
                <w:rFonts w:ascii="宋体" w:hAnsi="宋体" w:cs="宋体"/>
                <w:sz w:val="20"/>
              </w:rPr>
              <w:t>规划场地地表和屋面雨水径流，对场地雨水实施外排总量控制。</w:t>
            </w:r>
          </w:p>
          <w:p>
            <w:pPr>
              <w:widowControl/>
              <w:rPr>
                <w:rFonts w:ascii="宋体" w:hAnsi="宋体" w:cs="宋体"/>
                <w:bCs/>
                <w:sz w:val="20"/>
              </w:rPr>
            </w:pPr>
            <w:r>
              <w:rPr>
                <w:rFonts w:ascii="宋体" w:hAnsi="宋体" w:cs="宋体"/>
                <w:bCs/>
                <w:sz w:val="20"/>
              </w:rPr>
              <w:t>场地年径流总量控制率达到55%，得5分；</w:t>
            </w:r>
          </w:p>
          <w:p>
            <w:pPr>
              <w:widowControl/>
              <w:rPr>
                <w:rFonts w:ascii="宋体" w:hAnsi="宋体" w:cs="宋体"/>
                <w:bCs/>
                <w:sz w:val="20"/>
              </w:rPr>
            </w:pPr>
            <w:r>
              <w:rPr>
                <w:rFonts w:ascii="宋体" w:hAnsi="宋体" w:cs="宋体"/>
                <w:bCs/>
                <w:sz w:val="20"/>
              </w:rPr>
              <w:t>场地年径流总量控制率达到70%，得10分。</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Align w:val="center"/>
          </w:tcPr>
          <w:p>
            <w:pPr>
              <w:widowControl/>
              <w:jc w:val="center"/>
              <w:rPr>
                <w:rFonts w:ascii="宋体" w:hAnsi="宋体" w:cs="宋体"/>
                <w:b/>
                <w:bCs/>
                <w:sz w:val="20"/>
              </w:rPr>
            </w:pPr>
            <w:r>
              <w:rPr>
                <w:rFonts w:ascii="宋体" w:hAnsi="宋体" w:cs="宋体"/>
                <w:b/>
                <w:bCs/>
                <w:sz w:val="20"/>
              </w:rPr>
              <w:t>10</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shd w:val="clear" w:color="000000" w:fill="FFFFFF"/>
            <w:vAlign w:val="center"/>
          </w:tcPr>
          <w:p>
            <w:pPr>
              <w:widowControl/>
              <w:rPr>
                <w:rFonts w:ascii="宋体" w:hAnsi="宋体" w:cs="宋体"/>
                <w:sz w:val="20"/>
              </w:rPr>
            </w:pPr>
          </w:p>
        </w:tc>
        <w:tc>
          <w:tcPr>
            <w:tcW w:w="492" w:type="pct"/>
            <w:vMerge w:val="restart"/>
            <w:shd w:val="clear" w:color="000000" w:fill="FFFFFF"/>
            <w:noWrap/>
            <w:vAlign w:val="center"/>
          </w:tcPr>
          <w:p>
            <w:pPr>
              <w:widowControl/>
              <w:rPr>
                <w:rFonts w:ascii="宋体" w:hAnsi="宋体" w:cs="宋体"/>
                <w:sz w:val="20"/>
              </w:rPr>
            </w:pPr>
            <w:r>
              <w:rPr>
                <w:rFonts w:ascii="宋体" w:hAnsi="宋体" w:cs="宋体"/>
                <w:sz w:val="20"/>
              </w:rPr>
              <w:t>8.2.3</w:t>
            </w:r>
          </w:p>
        </w:tc>
        <w:tc>
          <w:tcPr>
            <w:tcW w:w="512" w:type="pct"/>
            <w:vMerge w:val="restart"/>
            <w:shd w:val="clear" w:color="000000" w:fill="FFFFFF"/>
            <w:vAlign w:val="center"/>
          </w:tcPr>
          <w:p>
            <w:pPr>
              <w:widowControl/>
              <w:rPr>
                <w:rFonts w:ascii="宋体" w:hAnsi="宋体" w:cs="宋体"/>
                <w:bCs/>
                <w:sz w:val="20"/>
              </w:rPr>
            </w:pPr>
            <w:r>
              <w:rPr>
                <w:rFonts w:ascii="宋体" w:hAnsi="宋体" w:cs="宋体"/>
                <w:sz w:val="20"/>
              </w:rPr>
              <w:t>充分利用场地空间设置绿化用地。</w:t>
            </w:r>
          </w:p>
        </w:tc>
        <w:tc>
          <w:tcPr>
            <w:tcW w:w="2134" w:type="pct"/>
            <w:gridSpan w:val="8"/>
            <w:shd w:val="clear" w:color="000000" w:fill="FFFFFF"/>
            <w:vAlign w:val="center"/>
          </w:tcPr>
          <w:p>
            <w:pPr>
              <w:widowControl/>
              <w:rPr>
                <w:rFonts w:ascii="宋体" w:hAnsi="宋体" w:cs="宋体"/>
                <w:bCs/>
                <w:sz w:val="20"/>
              </w:rPr>
            </w:pPr>
            <w:r>
              <w:rPr>
                <w:rFonts w:ascii="宋体" w:hAnsi="宋体" w:cs="宋体"/>
                <w:sz w:val="20"/>
              </w:rPr>
              <w:t>绿地率达到规划指标的105%及以上。</w:t>
            </w:r>
          </w:p>
        </w:tc>
        <w:tc>
          <w:tcPr>
            <w:tcW w:w="391" w:type="pct"/>
            <w:shd w:val="clear" w:color="000000" w:fill="FFFFFF"/>
            <w:vAlign w:val="center"/>
          </w:tcPr>
          <w:p>
            <w:pPr>
              <w:widowControl/>
              <w:jc w:val="center"/>
              <w:rPr>
                <w:rFonts w:ascii="宋体" w:hAnsi="宋体" w:cs="宋体"/>
                <w:b/>
                <w:bCs/>
                <w:sz w:val="20"/>
              </w:rPr>
            </w:pPr>
            <w:r>
              <w:rPr>
                <w:rFonts w:ascii="宋体" w:hAnsi="宋体" w:cs="宋体"/>
                <w:b/>
                <w:bCs/>
                <w:sz w:val="20"/>
              </w:rPr>
              <w:t>10</w:t>
            </w:r>
          </w:p>
        </w:tc>
        <w:tc>
          <w:tcPr>
            <w:tcW w:w="375" w:type="pct"/>
            <w:vMerge w:val="restart"/>
            <w:shd w:val="clear" w:color="000000" w:fill="FFFFFF"/>
            <w:vAlign w:val="center"/>
          </w:tcPr>
          <w:p>
            <w:pPr>
              <w:widowControl/>
              <w:jc w:val="center"/>
              <w:rPr>
                <w:rFonts w:ascii="宋体" w:hAnsi="宋体" w:cs="宋体"/>
                <w:b/>
                <w:bCs/>
                <w:sz w:val="20"/>
              </w:rPr>
            </w:pPr>
            <w:r>
              <w:rPr>
                <w:rFonts w:ascii="宋体" w:hAnsi="宋体" w:cs="宋体"/>
                <w:b/>
                <w:bCs/>
                <w:sz w:val="20"/>
              </w:rPr>
              <w:t>16</w:t>
            </w: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350" w:type="pct"/>
            <w:gridSpan w:val="5"/>
            <w:vMerge w:val="restart"/>
            <w:vAlign w:val="center"/>
          </w:tcPr>
          <w:p>
            <w:pPr>
              <w:widowControl/>
              <w:rPr>
                <w:rFonts w:ascii="宋体" w:hAnsi="宋体" w:cs="宋体"/>
                <w:bCs/>
                <w:sz w:val="20"/>
              </w:rPr>
            </w:pPr>
            <w:r>
              <w:rPr>
                <w:rFonts w:ascii="宋体" w:hAnsi="宋体" w:cs="宋体"/>
                <w:bCs/>
                <w:sz w:val="20"/>
              </w:rPr>
              <w:t>住宅</w:t>
            </w:r>
          </w:p>
          <w:p>
            <w:pPr>
              <w:widowControl/>
              <w:rPr>
                <w:rFonts w:ascii="宋体" w:hAnsi="宋体" w:cs="宋体"/>
                <w:bCs/>
                <w:sz w:val="20"/>
              </w:rPr>
            </w:pPr>
            <w:r>
              <w:rPr>
                <w:rFonts w:ascii="宋体" w:hAnsi="宋体" w:cs="宋体"/>
                <w:bCs/>
                <w:sz w:val="20"/>
              </w:rPr>
              <w:t>项目</w:t>
            </w:r>
          </w:p>
        </w:tc>
        <w:tc>
          <w:tcPr>
            <w:tcW w:w="1784" w:type="pct"/>
            <w:gridSpan w:val="3"/>
            <w:vAlign w:val="center"/>
          </w:tcPr>
          <w:p>
            <w:pPr>
              <w:widowControl/>
              <w:rPr>
                <w:rFonts w:ascii="宋体" w:hAnsi="宋体" w:cs="宋体"/>
                <w:bCs/>
                <w:sz w:val="20"/>
              </w:rPr>
            </w:pPr>
            <w:r>
              <w:rPr>
                <w:rFonts w:ascii="宋体" w:hAnsi="宋体" w:cs="宋体"/>
                <w:bCs/>
                <w:sz w:val="20"/>
              </w:rPr>
              <w:t>□新区建设</w:t>
            </w:r>
          </w:p>
          <w:p>
            <w:pPr>
              <w:widowControl/>
              <w:rPr>
                <w:rFonts w:ascii="宋体" w:hAnsi="宋体" w:cs="宋体"/>
                <w:bCs/>
                <w:sz w:val="20"/>
              </w:rPr>
            </w:pPr>
            <w:r>
              <w:rPr>
                <w:rFonts w:ascii="宋体" w:hAnsi="宋体" w:cs="宋体"/>
                <w:bCs/>
                <w:sz w:val="20"/>
              </w:rPr>
              <w:t>所在居住街坊内人均集中绿地面积Ag（m</w:t>
            </w:r>
            <w:r>
              <w:rPr>
                <w:rFonts w:ascii="宋体" w:hAnsi="宋体" w:cs="宋体"/>
                <w:bCs/>
                <w:sz w:val="20"/>
                <w:vertAlign w:val="superscript"/>
              </w:rPr>
              <w:t>2</w:t>
            </w:r>
            <w:r>
              <w:rPr>
                <w:rFonts w:ascii="宋体" w:hAnsi="宋体" w:cs="宋体"/>
                <w:bCs/>
                <w:sz w:val="20"/>
              </w:rPr>
              <w:t xml:space="preserve">/人）：                               </w:t>
            </w:r>
          </w:p>
          <w:p>
            <w:pPr>
              <w:widowControl/>
              <w:rPr>
                <w:rFonts w:ascii="宋体" w:hAnsi="宋体" w:cs="宋体"/>
                <w:bCs/>
                <w:sz w:val="20"/>
              </w:rPr>
            </w:pPr>
            <w:r>
              <w:rPr>
                <w:rFonts w:ascii="宋体" w:hAnsi="宋体" w:cs="宋体"/>
                <w:bCs/>
                <w:sz w:val="20"/>
              </w:rPr>
              <w:t>Ag=0.50，得2分；</w:t>
            </w:r>
          </w:p>
          <w:p>
            <w:pPr>
              <w:widowControl/>
              <w:rPr>
                <w:rFonts w:ascii="宋体" w:hAnsi="宋体" w:cs="宋体"/>
                <w:bCs/>
                <w:sz w:val="20"/>
              </w:rPr>
            </w:pPr>
            <w:r>
              <w:rPr>
                <w:rFonts w:ascii="宋体" w:hAnsi="宋体" w:cs="宋体"/>
                <w:bCs/>
                <w:sz w:val="20"/>
              </w:rPr>
              <w:t>0.50＜Ag＜0.60 ，得4分；</w:t>
            </w:r>
          </w:p>
          <w:p>
            <w:pPr>
              <w:widowControl/>
              <w:rPr>
                <w:rFonts w:ascii="宋体" w:hAnsi="宋体" w:cs="宋体"/>
                <w:bCs/>
                <w:sz w:val="20"/>
              </w:rPr>
            </w:pPr>
            <w:r>
              <w:rPr>
                <w:rFonts w:ascii="宋体" w:hAnsi="宋体" w:cs="宋体"/>
                <w:bCs/>
                <w:sz w:val="20"/>
              </w:rPr>
              <w:t>Ag≥0.60，得6分。</w:t>
            </w:r>
          </w:p>
        </w:tc>
        <w:tc>
          <w:tcPr>
            <w:tcW w:w="391" w:type="pct"/>
            <w:vAlign w:val="center"/>
          </w:tcPr>
          <w:p>
            <w:pPr>
              <w:widowControl/>
              <w:jc w:val="center"/>
              <w:rPr>
                <w:rFonts w:ascii="宋体" w:hAnsi="宋体" w:cs="宋体"/>
                <w:b/>
                <w:bCs/>
                <w:sz w:val="20"/>
              </w:rPr>
            </w:pPr>
            <w:r>
              <w:rPr>
                <w:rFonts w:ascii="宋体" w:hAnsi="宋体" w:cs="宋体"/>
                <w:b/>
                <w:bCs/>
                <w:sz w:val="20"/>
              </w:rPr>
              <w:t>6</w:t>
            </w:r>
          </w:p>
        </w:tc>
        <w:tc>
          <w:tcPr>
            <w:tcW w:w="375" w:type="pct"/>
            <w:vMerge w:val="continue"/>
            <w:vAlign w:val="center"/>
          </w:tcPr>
          <w:p>
            <w:pPr>
              <w:widowControl/>
              <w:jc w:val="center"/>
              <w:rPr>
                <w:rFonts w:ascii="宋体" w:hAnsi="宋体" w:cs="宋体"/>
                <w:b/>
                <w:bCs/>
                <w:sz w:val="20"/>
              </w:rPr>
            </w:pP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350" w:type="pct"/>
            <w:gridSpan w:val="5"/>
            <w:vMerge w:val="continue"/>
            <w:vAlign w:val="center"/>
          </w:tcPr>
          <w:p>
            <w:pPr>
              <w:widowControl/>
              <w:rPr>
                <w:rFonts w:ascii="宋体" w:hAnsi="宋体" w:cs="宋体"/>
                <w:bCs/>
                <w:sz w:val="20"/>
              </w:rPr>
            </w:pPr>
          </w:p>
        </w:tc>
        <w:tc>
          <w:tcPr>
            <w:tcW w:w="1784" w:type="pct"/>
            <w:gridSpan w:val="3"/>
            <w:vAlign w:val="center"/>
          </w:tcPr>
          <w:p>
            <w:pPr>
              <w:widowControl/>
              <w:rPr>
                <w:rFonts w:ascii="宋体" w:hAnsi="宋体" w:cs="宋体"/>
                <w:bCs/>
                <w:sz w:val="20"/>
              </w:rPr>
            </w:pPr>
            <w:r>
              <w:rPr>
                <w:rFonts w:ascii="宋体" w:hAnsi="宋体" w:cs="宋体"/>
                <w:bCs/>
                <w:sz w:val="20"/>
              </w:rPr>
              <w:t>□旧区改造</w:t>
            </w:r>
          </w:p>
          <w:p>
            <w:pPr>
              <w:widowControl/>
              <w:rPr>
                <w:rFonts w:ascii="宋体" w:hAnsi="宋体" w:cs="宋体"/>
                <w:bCs/>
                <w:sz w:val="20"/>
              </w:rPr>
            </w:pPr>
            <w:r>
              <w:rPr>
                <w:rFonts w:ascii="宋体" w:hAnsi="宋体" w:cs="宋体"/>
                <w:bCs/>
                <w:sz w:val="20"/>
              </w:rPr>
              <w:t>所在居住街坊内人均集中绿地面积Ag（m</w:t>
            </w:r>
            <w:r>
              <w:rPr>
                <w:rFonts w:ascii="宋体" w:hAnsi="宋体" w:cs="宋体"/>
                <w:bCs/>
                <w:sz w:val="20"/>
                <w:vertAlign w:val="superscript"/>
              </w:rPr>
              <w:t>2</w:t>
            </w:r>
            <w:r>
              <w:rPr>
                <w:rFonts w:ascii="宋体" w:hAnsi="宋体" w:cs="宋体"/>
                <w:bCs/>
                <w:sz w:val="20"/>
              </w:rPr>
              <w:t xml:space="preserve">/人）：                        </w:t>
            </w:r>
          </w:p>
          <w:p>
            <w:pPr>
              <w:widowControl/>
              <w:rPr>
                <w:rFonts w:ascii="宋体" w:hAnsi="宋体" w:cs="宋体"/>
                <w:bCs/>
                <w:sz w:val="20"/>
              </w:rPr>
            </w:pPr>
            <w:r>
              <w:rPr>
                <w:rFonts w:ascii="宋体" w:hAnsi="宋体" w:cs="宋体"/>
                <w:bCs/>
                <w:sz w:val="20"/>
              </w:rPr>
              <w:t>Ag=0.35，得2分；</w:t>
            </w:r>
          </w:p>
          <w:p>
            <w:pPr>
              <w:widowControl/>
              <w:rPr>
                <w:rFonts w:ascii="宋体" w:hAnsi="宋体" w:cs="宋体"/>
                <w:bCs/>
                <w:sz w:val="20"/>
              </w:rPr>
            </w:pPr>
            <w:r>
              <w:rPr>
                <w:rFonts w:ascii="宋体" w:hAnsi="宋体" w:cs="宋体"/>
                <w:bCs/>
                <w:sz w:val="20"/>
              </w:rPr>
              <w:t>0.35＜Ag＜0.45，得4分；</w:t>
            </w:r>
          </w:p>
          <w:p>
            <w:pPr>
              <w:widowControl/>
              <w:rPr>
                <w:rFonts w:ascii="宋体" w:hAnsi="宋体" w:cs="宋体"/>
                <w:bCs/>
                <w:sz w:val="20"/>
              </w:rPr>
            </w:pPr>
            <w:r>
              <w:rPr>
                <w:rFonts w:ascii="宋体" w:hAnsi="宋体" w:cs="宋体"/>
                <w:bCs/>
                <w:sz w:val="20"/>
              </w:rPr>
              <w:t>Ag≥0.45，得6分。</w:t>
            </w:r>
          </w:p>
        </w:tc>
        <w:tc>
          <w:tcPr>
            <w:tcW w:w="391" w:type="pct"/>
            <w:vAlign w:val="center"/>
          </w:tcPr>
          <w:p>
            <w:pPr>
              <w:widowControl/>
              <w:jc w:val="center"/>
              <w:rPr>
                <w:rFonts w:ascii="宋体" w:hAnsi="宋体" w:cs="宋体"/>
                <w:b/>
                <w:bCs/>
                <w:sz w:val="20"/>
              </w:rPr>
            </w:pPr>
            <w:r>
              <w:rPr>
                <w:rFonts w:ascii="宋体" w:hAnsi="宋体" w:cs="宋体"/>
                <w:b/>
                <w:bCs/>
                <w:sz w:val="20"/>
              </w:rPr>
              <w:t>6</w:t>
            </w:r>
          </w:p>
        </w:tc>
        <w:tc>
          <w:tcPr>
            <w:tcW w:w="375" w:type="pct"/>
            <w:vMerge w:val="continue"/>
            <w:vAlign w:val="center"/>
          </w:tcPr>
          <w:p>
            <w:pPr>
              <w:widowControl/>
              <w:jc w:val="center"/>
              <w:rPr>
                <w:rFonts w:ascii="宋体" w:hAnsi="宋体" w:cs="宋体"/>
                <w:b/>
                <w:bCs/>
                <w:sz w:val="20"/>
              </w:rPr>
            </w:pP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350" w:type="pct"/>
            <w:gridSpan w:val="5"/>
            <w:vAlign w:val="center"/>
          </w:tcPr>
          <w:p>
            <w:pPr>
              <w:widowControl/>
              <w:rPr>
                <w:rFonts w:ascii="宋体" w:hAnsi="宋体" w:cs="宋体"/>
                <w:bCs/>
                <w:sz w:val="20"/>
              </w:rPr>
            </w:pPr>
            <w:r>
              <w:rPr>
                <w:rFonts w:ascii="宋体" w:hAnsi="宋体" w:cs="宋体"/>
                <w:bCs/>
                <w:sz w:val="20"/>
              </w:rPr>
              <w:t>公共</w:t>
            </w:r>
          </w:p>
          <w:p>
            <w:pPr>
              <w:widowControl/>
              <w:rPr>
                <w:rFonts w:ascii="宋体" w:hAnsi="宋体" w:cs="宋体"/>
                <w:bCs/>
                <w:sz w:val="20"/>
              </w:rPr>
            </w:pPr>
            <w:r>
              <w:rPr>
                <w:rFonts w:ascii="宋体" w:hAnsi="宋体" w:cs="宋体"/>
                <w:bCs/>
                <w:sz w:val="20"/>
              </w:rPr>
              <w:t>建筑</w:t>
            </w:r>
          </w:p>
        </w:tc>
        <w:tc>
          <w:tcPr>
            <w:tcW w:w="1784" w:type="pct"/>
            <w:gridSpan w:val="3"/>
            <w:vAlign w:val="center"/>
          </w:tcPr>
          <w:p>
            <w:pPr>
              <w:widowControl/>
              <w:rPr>
                <w:rFonts w:ascii="宋体" w:hAnsi="宋体" w:cs="宋体"/>
                <w:bCs/>
                <w:sz w:val="20"/>
              </w:rPr>
            </w:pPr>
            <w:r>
              <w:rPr>
                <w:rFonts w:ascii="宋体" w:hAnsi="宋体" w:cs="宋体"/>
                <w:bCs/>
                <w:sz w:val="20"/>
              </w:rPr>
              <w:t>绿地向公众开放。</w:t>
            </w:r>
          </w:p>
        </w:tc>
        <w:tc>
          <w:tcPr>
            <w:tcW w:w="391" w:type="pct"/>
            <w:vAlign w:val="center"/>
          </w:tcPr>
          <w:p>
            <w:pPr>
              <w:widowControl/>
              <w:jc w:val="center"/>
              <w:rPr>
                <w:rFonts w:ascii="宋体" w:hAnsi="宋体" w:cs="宋体"/>
                <w:b/>
                <w:bCs/>
                <w:sz w:val="20"/>
              </w:rPr>
            </w:pPr>
            <w:r>
              <w:rPr>
                <w:rFonts w:ascii="宋体" w:hAnsi="宋体" w:cs="宋体"/>
                <w:b/>
                <w:bCs/>
                <w:sz w:val="20"/>
              </w:rPr>
              <w:t>6</w:t>
            </w:r>
          </w:p>
        </w:tc>
        <w:tc>
          <w:tcPr>
            <w:tcW w:w="375" w:type="pct"/>
            <w:vMerge w:val="continue"/>
            <w:vAlign w:val="center"/>
          </w:tcPr>
          <w:p>
            <w:pPr>
              <w:widowControl/>
              <w:jc w:val="center"/>
              <w:rPr>
                <w:rFonts w:ascii="宋体" w:hAnsi="宋体" w:cs="宋体"/>
                <w:b/>
                <w:bCs/>
                <w:sz w:val="20"/>
              </w:rPr>
            </w:pP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shd w:val="clear" w:color="000000" w:fill="FFFFFF"/>
            <w:vAlign w:val="center"/>
          </w:tcPr>
          <w:p>
            <w:pPr>
              <w:widowControl/>
              <w:rPr>
                <w:rFonts w:ascii="宋体" w:hAnsi="宋体" w:cs="宋体"/>
                <w:sz w:val="20"/>
              </w:rPr>
            </w:pPr>
          </w:p>
        </w:tc>
        <w:tc>
          <w:tcPr>
            <w:tcW w:w="492" w:type="pct"/>
            <w:vMerge w:val="restart"/>
            <w:shd w:val="clear" w:color="000000" w:fill="FFFFFF"/>
            <w:noWrap/>
            <w:vAlign w:val="center"/>
          </w:tcPr>
          <w:p>
            <w:pPr>
              <w:widowControl/>
              <w:rPr>
                <w:rFonts w:ascii="宋体" w:hAnsi="宋体" w:cs="宋体"/>
                <w:sz w:val="20"/>
              </w:rPr>
            </w:pPr>
            <w:r>
              <w:rPr>
                <w:rFonts w:ascii="宋体" w:hAnsi="宋体" w:cs="宋体"/>
                <w:sz w:val="20"/>
              </w:rPr>
              <w:t>8.2.4</w:t>
            </w:r>
          </w:p>
        </w:tc>
        <w:tc>
          <w:tcPr>
            <w:tcW w:w="512" w:type="pct"/>
            <w:vMerge w:val="restart"/>
            <w:shd w:val="clear" w:color="000000" w:fill="FFFFFF"/>
            <w:vAlign w:val="center"/>
          </w:tcPr>
          <w:p>
            <w:pPr>
              <w:widowControl/>
              <w:rPr>
                <w:rFonts w:ascii="宋体" w:hAnsi="宋体" w:cs="宋体"/>
                <w:bCs/>
                <w:sz w:val="20"/>
              </w:rPr>
            </w:pPr>
            <w:r>
              <w:rPr>
                <w:rFonts w:ascii="宋体" w:hAnsi="宋体" w:cs="宋体"/>
                <w:bCs/>
                <w:sz w:val="20"/>
              </w:rPr>
              <w:t>室外吸烟区设置</w:t>
            </w:r>
          </w:p>
        </w:tc>
        <w:tc>
          <w:tcPr>
            <w:tcW w:w="2134" w:type="pct"/>
            <w:gridSpan w:val="8"/>
            <w:shd w:val="clear" w:color="000000" w:fill="FFFFFF"/>
            <w:vAlign w:val="center"/>
          </w:tcPr>
          <w:p>
            <w:pPr>
              <w:widowControl/>
              <w:rPr>
                <w:rFonts w:ascii="宋体" w:hAnsi="宋体" w:cs="宋体"/>
                <w:bCs/>
                <w:sz w:val="20"/>
              </w:rPr>
            </w:pPr>
            <w:r>
              <w:rPr>
                <w:rFonts w:ascii="宋体" w:hAnsi="宋体" w:cs="宋体"/>
                <w:bCs/>
                <w:sz w:val="20"/>
              </w:rPr>
              <w:t>室外吸烟区布置在建筑主出入口的主导风的下风向，与所有建筑出入口、新风进气口和可开启窗扇的距离不少于8m，且距离儿童和老人活动场地不少于8m。</w:t>
            </w:r>
          </w:p>
        </w:tc>
        <w:tc>
          <w:tcPr>
            <w:tcW w:w="391" w:type="pct"/>
            <w:shd w:val="clear" w:color="000000" w:fill="FFFFFF"/>
            <w:vAlign w:val="center"/>
          </w:tcPr>
          <w:p>
            <w:pPr>
              <w:widowControl/>
              <w:jc w:val="center"/>
              <w:rPr>
                <w:rFonts w:ascii="宋体" w:hAnsi="宋体" w:cs="宋体"/>
                <w:b/>
                <w:bCs/>
                <w:sz w:val="20"/>
              </w:rPr>
            </w:pPr>
            <w:r>
              <w:rPr>
                <w:rFonts w:ascii="宋体" w:hAnsi="宋体" w:cs="宋体"/>
                <w:b/>
                <w:bCs/>
                <w:sz w:val="20"/>
              </w:rPr>
              <w:t>5</w:t>
            </w:r>
          </w:p>
        </w:tc>
        <w:tc>
          <w:tcPr>
            <w:tcW w:w="375" w:type="pct"/>
            <w:vMerge w:val="restart"/>
            <w:shd w:val="clear" w:color="000000" w:fill="FFFFFF"/>
            <w:vAlign w:val="center"/>
          </w:tcPr>
          <w:p>
            <w:pPr>
              <w:widowControl/>
              <w:jc w:val="center"/>
              <w:rPr>
                <w:rFonts w:ascii="宋体" w:hAnsi="宋体" w:cs="宋体"/>
                <w:b/>
                <w:bCs/>
                <w:sz w:val="20"/>
              </w:rPr>
            </w:pPr>
            <w:r>
              <w:rPr>
                <w:rFonts w:ascii="宋体" w:hAnsi="宋体" w:cs="宋体"/>
                <w:b/>
                <w:bCs/>
                <w:sz w:val="20"/>
              </w:rPr>
              <w:t>9</w:t>
            </w: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widowControl/>
              <w:rPr>
                <w:rFonts w:ascii="宋体" w:hAnsi="宋体" w:cs="宋体"/>
                <w:bCs/>
                <w:sz w:val="20"/>
              </w:rPr>
            </w:pPr>
            <w:r>
              <w:rPr>
                <w:rFonts w:ascii="宋体" w:hAnsi="宋体" w:cs="宋体"/>
                <w:bCs/>
                <w:sz w:val="20"/>
              </w:rPr>
              <w:t>室外吸烟区与绿植结合布置，并合理配置座椅和带烟头收集的垃圾筒，从建筑主出入口至室外吸烟区的导向标识完整、定位标识醒目，吸烟区设置吸烟有害健康的警示标识。</w:t>
            </w:r>
          </w:p>
        </w:tc>
        <w:tc>
          <w:tcPr>
            <w:tcW w:w="391" w:type="pct"/>
            <w:vAlign w:val="center"/>
          </w:tcPr>
          <w:p>
            <w:pPr>
              <w:widowControl/>
              <w:jc w:val="center"/>
              <w:rPr>
                <w:rFonts w:ascii="宋体" w:hAnsi="宋体" w:cs="宋体"/>
                <w:b/>
                <w:bCs/>
                <w:sz w:val="20"/>
              </w:rPr>
            </w:pPr>
            <w:r>
              <w:rPr>
                <w:rFonts w:ascii="宋体" w:hAnsi="宋体" w:cs="宋体"/>
                <w:b/>
                <w:bCs/>
                <w:sz w:val="20"/>
              </w:rPr>
              <w:t>4</w:t>
            </w:r>
          </w:p>
        </w:tc>
        <w:tc>
          <w:tcPr>
            <w:tcW w:w="375" w:type="pct"/>
            <w:vMerge w:val="continue"/>
            <w:vAlign w:val="center"/>
          </w:tcPr>
          <w:p>
            <w:pPr>
              <w:widowControl/>
              <w:jc w:val="center"/>
              <w:rPr>
                <w:rFonts w:ascii="宋体" w:hAnsi="宋体" w:cs="宋体"/>
                <w:b/>
                <w:bCs/>
                <w:sz w:val="20"/>
              </w:rPr>
            </w:pP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8.2.5</w:t>
            </w:r>
          </w:p>
        </w:tc>
        <w:tc>
          <w:tcPr>
            <w:tcW w:w="512" w:type="pct"/>
            <w:vMerge w:val="restart"/>
            <w:shd w:val="clear" w:color="auto" w:fill="auto"/>
            <w:vAlign w:val="center"/>
          </w:tcPr>
          <w:p>
            <w:pPr>
              <w:widowControl/>
              <w:rPr>
                <w:rFonts w:ascii="宋体" w:hAnsi="宋体" w:cs="宋体"/>
                <w:bCs/>
                <w:sz w:val="20"/>
              </w:rPr>
            </w:pPr>
            <w:r>
              <w:rPr>
                <w:rFonts w:ascii="宋体" w:hAnsi="宋体" w:cs="宋体"/>
                <w:bCs/>
                <w:sz w:val="20"/>
              </w:rPr>
              <w:t>雨水基础设施</w:t>
            </w:r>
          </w:p>
        </w:tc>
        <w:tc>
          <w:tcPr>
            <w:tcW w:w="2134" w:type="pct"/>
            <w:gridSpan w:val="8"/>
            <w:shd w:val="clear" w:color="auto" w:fill="auto"/>
            <w:vAlign w:val="center"/>
          </w:tcPr>
          <w:p>
            <w:pPr>
              <w:rPr>
                <w:rFonts w:ascii="宋体" w:hAnsi="宋体" w:cs="宋体"/>
                <w:sz w:val="20"/>
              </w:rPr>
            </w:pPr>
            <w:r>
              <w:rPr>
                <w:rFonts w:ascii="宋体" w:hAnsi="宋体" w:cs="宋体"/>
                <w:sz w:val="20"/>
              </w:rPr>
              <w:t>下凹式绿地、雨水花园等有调蓄雨水功能的绿地和水体的面积之和占绿地面积的比例达到40%，得3分；达到60%，得5分。</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15</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衔接和引导不少于80%的屋面雨水进入地面生态设施。</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衔接和引导不少于80%的道路雨水进入地面生态设施。</w:t>
            </w:r>
          </w:p>
        </w:tc>
        <w:tc>
          <w:tcPr>
            <w:tcW w:w="391" w:type="pct"/>
            <w:vAlign w:val="center"/>
          </w:tcPr>
          <w:p>
            <w:pPr>
              <w:widowControl/>
              <w:jc w:val="center"/>
              <w:rPr>
                <w:rFonts w:ascii="宋体" w:hAnsi="宋体" w:cs="宋体"/>
                <w:b/>
                <w:bCs/>
                <w:sz w:val="20"/>
              </w:rPr>
            </w:pPr>
            <w:r>
              <w:rPr>
                <w:rFonts w:ascii="宋体" w:hAnsi="宋体" w:cs="宋体"/>
                <w:b/>
                <w:bCs/>
                <w:sz w:val="20"/>
              </w:rPr>
              <w:t>4</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硬质铺装地面中透水铺装面积的比例达到50%。</w:t>
            </w:r>
          </w:p>
        </w:tc>
        <w:tc>
          <w:tcPr>
            <w:tcW w:w="391" w:type="pct"/>
            <w:vAlign w:val="center"/>
          </w:tcPr>
          <w:p>
            <w:pPr>
              <w:widowControl/>
              <w:jc w:val="center"/>
              <w:rPr>
                <w:rFonts w:ascii="宋体" w:hAnsi="宋体" w:cs="宋体"/>
                <w:b/>
                <w:bCs/>
              </w:rPr>
            </w:pPr>
            <w:r>
              <w:rPr>
                <w:rFonts w:ascii="宋体" w:hAnsi="宋体" w:cs="宋体"/>
                <w:b/>
                <w:bCs/>
                <w:sz w:val="20"/>
              </w:rPr>
              <w:t>3</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8.2.6</w:t>
            </w:r>
          </w:p>
        </w:tc>
        <w:tc>
          <w:tcPr>
            <w:tcW w:w="2646" w:type="pct"/>
            <w:gridSpan w:val="9"/>
            <w:shd w:val="clear" w:color="auto" w:fill="auto"/>
            <w:vAlign w:val="center"/>
          </w:tcPr>
          <w:p>
            <w:pPr>
              <w:widowControl/>
              <w:rPr>
                <w:rFonts w:ascii="宋体" w:hAnsi="宋体" w:cs="宋体"/>
                <w:sz w:val="20"/>
              </w:rPr>
            </w:pPr>
            <w:r>
              <w:rPr>
                <w:rFonts w:ascii="宋体" w:hAnsi="宋体" w:cs="宋体"/>
                <w:sz w:val="20"/>
              </w:rPr>
              <w:t>场地内的环境噪声优于现行国家标准《声环境质量标准》GB 3096的要求。</w:t>
            </w:r>
          </w:p>
          <w:p>
            <w:pPr>
              <w:widowControl/>
              <w:rPr>
                <w:rFonts w:ascii="宋体" w:hAnsi="宋体" w:cs="宋体"/>
                <w:sz w:val="20"/>
              </w:rPr>
            </w:pPr>
            <w:r>
              <w:rPr>
                <w:rFonts w:ascii="宋体" w:hAnsi="宋体" w:cs="宋体"/>
                <w:sz w:val="20"/>
              </w:rPr>
              <w:t>2类声环境功能区标准限值＜环境噪声值≤3类声环境功能区标准限值，得5分；</w:t>
            </w:r>
          </w:p>
          <w:p>
            <w:pPr>
              <w:widowControl/>
              <w:rPr>
                <w:rFonts w:ascii="宋体" w:hAnsi="宋体" w:cs="宋体"/>
                <w:bCs/>
                <w:sz w:val="20"/>
              </w:rPr>
            </w:pPr>
            <w:r>
              <w:rPr>
                <w:rFonts w:ascii="宋体" w:hAnsi="宋体" w:cs="宋体"/>
                <w:sz w:val="20"/>
              </w:rPr>
              <w:t>环境噪声值≤2类声环境功能区标准限值，得10分。</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Align w:val="center"/>
          </w:tcPr>
          <w:p>
            <w:pPr>
              <w:widowControl/>
              <w:jc w:val="center"/>
              <w:rPr>
                <w:rFonts w:ascii="宋体" w:hAnsi="宋体" w:cs="宋体"/>
                <w:b/>
                <w:bCs/>
                <w:sz w:val="20"/>
              </w:rPr>
            </w:pPr>
            <w:r>
              <w:rPr>
                <w:rFonts w:ascii="宋体" w:hAnsi="宋体" w:cs="宋体"/>
                <w:b/>
                <w:bCs/>
                <w:sz w:val="20"/>
              </w:rPr>
              <w:t>10</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shd w:val="clear" w:color="000000" w:fill="FFFFFF"/>
            <w:vAlign w:val="center"/>
          </w:tcPr>
          <w:p>
            <w:pPr>
              <w:widowControl/>
              <w:rPr>
                <w:rFonts w:ascii="宋体" w:hAnsi="宋体" w:cs="宋体"/>
                <w:sz w:val="20"/>
              </w:rPr>
            </w:pPr>
          </w:p>
        </w:tc>
        <w:tc>
          <w:tcPr>
            <w:tcW w:w="492" w:type="pct"/>
            <w:vMerge w:val="restart"/>
            <w:shd w:val="clear" w:color="000000" w:fill="FFFFFF"/>
            <w:noWrap/>
            <w:vAlign w:val="center"/>
          </w:tcPr>
          <w:p>
            <w:pPr>
              <w:widowControl/>
              <w:rPr>
                <w:rFonts w:ascii="宋体" w:hAnsi="宋体" w:cs="宋体"/>
                <w:sz w:val="20"/>
              </w:rPr>
            </w:pPr>
            <w:r>
              <w:rPr>
                <w:rFonts w:ascii="宋体" w:hAnsi="宋体" w:cs="宋体"/>
                <w:sz w:val="20"/>
              </w:rPr>
              <w:t>8.2.7</w:t>
            </w:r>
          </w:p>
        </w:tc>
        <w:tc>
          <w:tcPr>
            <w:tcW w:w="512" w:type="pct"/>
            <w:vMerge w:val="restart"/>
            <w:shd w:val="clear" w:color="000000" w:fill="FFFFFF"/>
            <w:vAlign w:val="center"/>
          </w:tcPr>
          <w:p>
            <w:pPr>
              <w:widowControl/>
              <w:rPr>
                <w:rFonts w:ascii="宋体" w:hAnsi="宋体" w:cs="宋体"/>
                <w:bCs/>
                <w:sz w:val="20"/>
              </w:rPr>
            </w:pPr>
            <w:r>
              <w:rPr>
                <w:rFonts w:ascii="宋体" w:hAnsi="宋体" w:cs="宋体"/>
                <w:bCs/>
                <w:sz w:val="20"/>
              </w:rPr>
              <w:t>光污染</w:t>
            </w:r>
          </w:p>
        </w:tc>
        <w:tc>
          <w:tcPr>
            <w:tcW w:w="2134" w:type="pct"/>
            <w:gridSpan w:val="8"/>
            <w:shd w:val="clear" w:color="000000" w:fill="FFFFFF"/>
            <w:vAlign w:val="center"/>
          </w:tcPr>
          <w:p>
            <w:pPr>
              <w:rPr>
                <w:rFonts w:ascii="宋体" w:hAnsi="宋体" w:cs="宋体"/>
                <w:sz w:val="20"/>
              </w:rPr>
            </w:pPr>
            <w:r>
              <w:rPr>
                <w:rFonts w:ascii="宋体" w:hAnsi="宋体" w:cs="宋体"/>
                <w:sz w:val="20"/>
              </w:rPr>
              <w:t>玻璃幕墙的可见光反射比及反射光对周边环境的影响符合《玻璃幕墙光热性能》GB/T 18091的规定。</w:t>
            </w:r>
          </w:p>
        </w:tc>
        <w:tc>
          <w:tcPr>
            <w:tcW w:w="391" w:type="pct"/>
            <w:shd w:val="clear" w:color="000000" w:fill="FFFFFF"/>
            <w:vAlign w:val="center"/>
          </w:tcPr>
          <w:p>
            <w:pPr>
              <w:widowControl/>
              <w:jc w:val="center"/>
              <w:rPr>
                <w:rFonts w:ascii="宋体" w:hAnsi="宋体" w:cs="宋体"/>
                <w:b/>
                <w:bCs/>
                <w:sz w:val="20"/>
              </w:rPr>
            </w:pPr>
            <w:r>
              <w:rPr>
                <w:rFonts w:ascii="宋体" w:hAnsi="宋体" w:cs="宋体"/>
                <w:b/>
                <w:bCs/>
                <w:sz w:val="20"/>
              </w:rPr>
              <w:t>5</w:t>
            </w:r>
          </w:p>
        </w:tc>
        <w:tc>
          <w:tcPr>
            <w:tcW w:w="375" w:type="pct"/>
            <w:vMerge w:val="restart"/>
            <w:shd w:val="clear" w:color="000000" w:fill="FFFFFF"/>
            <w:vAlign w:val="center"/>
          </w:tcPr>
          <w:p>
            <w:pPr>
              <w:widowControl/>
              <w:jc w:val="center"/>
              <w:rPr>
                <w:rFonts w:ascii="宋体" w:hAnsi="宋体" w:cs="宋体"/>
                <w:b/>
                <w:bCs/>
                <w:sz w:val="20"/>
              </w:rPr>
            </w:pPr>
            <w:r>
              <w:rPr>
                <w:rFonts w:ascii="宋体" w:hAnsi="宋体" w:cs="宋体"/>
                <w:b/>
                <w:bCs/>
                <w:sz w:val="20"/>
              </w:rPr>
              <w:t>10</w:t>
            </w: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室外夜景照明光污染的限制符合现行国家标准《室外照明干扰光限制规范》GB/T 35626和现行行业标准《城市夜景照明设计规范》JGJ 163的规定</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Merge w:val="continue"/>
            <w:vAlign w:val="center"/>
          </w:tcPr>
          <w:p>
            <w:pPr>
              <w:widowControl/>
              <w:jc w:val="center"/>
              <w:rPr>
                <w:rFonts w:ascii="宋体" w:hAnsi="宋体" w:cs="宋体"/>
                <w:b/>
                <w:bCs/>
                <w:sz w:val="20"/>
              </w:rPr>
            </w:pPr>
          </w:p>
        </w:tc>
        <w:tc>
          <w:tcPr>
            <w:tcW w:w="455" w:type="pct"/>
            <w:shd w:val="clear" w:color="000000" w:fill="FFFFFF"/>
            <w:vAlign w:val="center"/>
          </w:tcPr>
          <w:p>
            <w:pPr>
              <w:widowControl/>
              <w:rPr>
                <w:rFonts w:ascii="宋体" w:hAnsi="宋体" w:cs="宋体"/>
                <w:b/>
                <w:bCs/>
                <w:sz w:val="20"/>
              </w:rPr>
            </w:pPr>
          </w:p>
        </w:tc>
        <w:tc>
          <w:tcPr>
            <w:tcW w:w="386" w:type="pct"/>
            <w:shd w:val="clear" w:color="000000" w:fill="FFFFFF"/>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8.2.8</w:t>
            </w:r>
          </w:p>
        </w:tc>
        <w:tc>
          <w:tcPr>
            <w:tcW w:w="512" w:type="pct"/>
            <w:vMerge w:val="restart"/>
            <w:shd w:val="clear" w:color="auto" w:fill="auto"/>
            <w:vAlign w:val="center"/>
          </w:tcPr>
          <w:p>
            <w:pPr>
              <w:widowControl/>
              <w:rPr>
                <w:rFonts w:ascii="宋体" w:hAnsi="宋体" w:cs="宋体"/>
                <w:bCs/>
                <w:sz w:val="20"/>
              </w:rPr>
            </w:pPr>
            <w:r>
              <w:rPr>
                <w:rFonts w:ascii="宋体" w:hAnsi="宋体" w:cs="宋体"/>
                <w:bCs/>
                <w:sz w:val="20"/>
              </w:rPr>
              <w:t>场地风环境</w:t>
            </w:r>
          </w:p>
        </w:tc>
        <w:tc>
          <w:tcPr>
            <w:tcW w:w="2134" w:type="pct"/>
            <w:gridSpan w:val="8"/>
            <w:shd w:val="clear" w:color="auto" w:fill="auto"/>
            <w:vAlign w:val="center"/>
          </w:tcPr>
          <w:p>
            <w:pPr>
              <w:rPr>
                <w:rFonts w:ascii="宋体" w:hAnsi="宋体" w:cs="宋体"/>
                <w:sz w:val="20"/>
              </w:rPr>
            </w:pPr>
            <w:r>
              <w:rPr>
                <w:rFonts w:ascii="宋体" w:hAnsi="宋体" w:cs="宋体"/>
                <w:sz w:val="20"/>
              </w:rPr>
              <w:t>冬季典型风速和风向条件下，建筑物周围人行区距地高1.5m处风速小于5m/s，户外休息区、儿童娱乐区风速小于2m/s，且室外风速放大系数小于2。</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10</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冬季典型风速和风向条件下，除迎风第一排建筑外，建筑迎风面与背风面表面风压差不大于5Pa；只有一排建筑，可直接得分</w:t>
            </w:r>
          </w:p>
        </w:tc>
        <w:tc>
          <w:tcPr>
            <w:tcW w:w="391" w:type="pct"/>
            <w:vAlign w:val="center"/>
          </w:tcPr>
          <w:p>
            <w:pPr>
              <w:widowControl/>
              <w:jc w:val="center"/>
              <w:rPr>
                <w:rFonts w:ascii="宋体" w:hAnsi="宋体" w:cs="宋体"/>
                <w:b/>
                <w:bCs/>
                <w:sz w:val="20"/>
              </w:rPr>
            </w:pPr>
            <w:r>
              <w:rPr>
                <w:rFonts w:ascii="宋体" w:hAnsi="宋体" w:cs="宋体"/>
                <w:b/>
                <w:bCs/>
                <w:sz w:val="20"/>
              </w:rPr>
              <w:t>2</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过渡季、夏季典型风速和风向条件下，场地内人活动区不出现涡旋或无风区。</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过渡季、夏季典型风速和风向条件下，50%以上可开启外窗室内外表面的风压差大于0.5Pa。</w:t>
            </w:r>
          </w:p>
        </w:tc>
        <w:tc>
          <w:tcPr>
            <w:tcW w:w="391" w:type="pct"/>
            <w:vAlign w:val="center"/>
          </w:tcPr>
          <w:p>
            <w:pPr>
              <w:widowControl/>
              <w:jc w:val="center"/>
              <w:rPr>
                <w:rFonts w:ascii="宋体" w:hAnsi="宋体" w:cs="宋体"/>
                <w:b/>
                <w:bCs/>
                <w:sz w:val="20"/>
              </w:rPr>
            </w:pPr>
            <w:r>
              <w:rPr>
                <w:rFonts w:ascii="宋体" w:hAnsi="宋体" w:cs="宋体"/>
                <w:b/>
                <w:bCs/>
                <w:sz w:val="20"/>
              </w:rPr>
              <w:t>2</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8.2.9</w:t>
            </w:r>
          </w:p>
        </w:tc>
        <w:tc>
          <w:tcPr>
            <w:tcW w:w="512" w:type="pct"/>
            <w:vMerge w:val="restart"/>
            <w:shd w:val="clear" w:color="auto" w:fill="auto"/>
            <w:vAlign w:val="center"/>
          </w:tcPr>
          <w:p>
            <w:pPr>
              <w:widowControl/>
              <w:rPr>
                <w:rFonts w:ascii="宋体" w:hAnsi="宋体" w:cs="宋体"/>
                <w:bCs/>
                <w:sz w:val="20"/>
              </w:rPr>
            </w:pPr>
            <w:r>
              <w:rPr>
                <w:rFonts w:ascii="宋体" w:hAnsi="宋体" w:cs="宋体"/>
                <w:bCs/>
                <w:sz w:val="20"/>
              </w:rPr>
              <w:t>热岛强度</w:t>
            </w:r>
          </w:p>
        </w:tc>
        <w:tc>
          <w:tcPr>
            <w:tcW w:w="2134" w:type="pct"/>
            <w:gridSpan w:val="8"/>
            <w:shd w:val="clear" w:color="auto" w:fill="auto"/>
            <w:vAlign w:val="center"/>
          </w:tcPr>
          <w:p>
            <w:pPr>
              <w:rPr>
                <w:rFonts w:ascii="宋体" w:hAnsi="宋体" w:cs="宋体"/>
                <w:sz w:val="20"/>
              </w:rPr>
            </w:pPr>
            <w:r>
              <w:rPr>
                <w:rFonts w:ascii="宋体" w:hAnsi="宋体" w:cs="宋体"/>
                <w:sz w:val="20"/>
              </w:rPr>
              <w:t>场地中处于建筑阴影区外的步道、游憩场、庭院、广场等室外活动场地设有乔木、花架等遮阴措施的面积比例：</w:t>
            </w:r>
          </w:p>
          <w:p>
            <w:pPr>
              <w:rPr>
                <w:rFonts w:ascii="宋体" w:hAnsi="宋体" w:cs="宋体"/>
                <w:sz w:val="20"/>
              </w:rPr>
            </w:pPr>
            <w:r>
              <w:rPr>
                <w:rFonts w:ascii="宋体" w:hAnsi="宋体" w:cs="宋体"/>
                <w:sz w:val="20"/>
              </w:rPr>
              <w:t>□住宅建筑达30%，□公共建筑达10%，得2分；</w:t>
            </w:r>
          </w:p>
          <w:p>
            <w:pPr>
              <w:rPr>
                <w:rFonts w:ascii="宋体" w:hAnsi="宋体" w:cs="宋体"/>
                <w:sz w:val="20"/>
              </w:rPr>
            </w:pPr>
            <w:r>
              <w:rPr>
                <w:rFonts w:ascii="宋体" w:hAnsi="宋体" w:cs="宋体"/>
                <w:sz w:val="20"/>
              </w:rPr>
              <w:t>□住宅建筑达50%，□公共建筑达20%，得3分；</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10</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场地中处于建筑阴影区外的机动车道，路面太阳辐射反射系数不小于0.4，或设有遮荫面积较大的行道树的路段长度超过70%。</w:t>
            </w:r>
          </w:p>
        </w:tc>
        <w:tc>
          <w:tcPr>
            <w:tcW w:w="391" w:type="pct"/>
            <w:vAlign w:val="center"/>
          </w:tcPr>
          <w:p>
            <w:pPr>
              <w:widowControl/>
              <w:jc w:val="center"/>
              <w:rPr>
                <w:rFonts w:ascii="宋体" w:hAnsi="宋体" w:cs="宋体"/>
                <w:b/>
                <w:bCs/>
                <w:sz w:val="20"/>
              </w:rPr>
            </w:pPr>
            <w:r>
              <w:rPr>
                <w:rFonts w:ascii="宋体" w:hAnsi="宋体" w:cs="宋体"/>
                <w:b/>
                <w:bCs/>
                <w:sz w:val="20"/>
              </w:rPr>
              <w:t>3</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rPr>
            </w:pPr>
            <w:r>
              <w:rPr>
                <w:rFonts w:ascii="宋体" w:hAnsi="宋体" w:cs="宋体"/>
                <w:sz w:val="20"/>
              </w:rPr>
              <w:t>屋顶的绿化面积、太阳能板水平投影面积以及太阳辐射反射系数不小于0.4的屋面面积合计达到75%。</w:t>
            </w:r>
          </w:p>
        </w:tc>
        <w:tc>
          <w:tcPr>
            <w:tcW w:w="391" w:type="pct"/>
            <w:vAlign w:val="center"/>
          </w:tcPr>
          <w:p>
            <w:pPr>
              <w:widowControl/>
              <w:jc w:val="center"/>
              <w:rPr>
                <w:rFonts w:ascii="宋体" w:hAnsi="宋体" w:cs="宋体"/>
                <w:b/>
                <w:bCs/>
                <w:sz w:val="20"/>
              </w:rPr>
            </w:pPr>
            <w:r>
              <w:rPr>
                <w:rFonts w:ascii="宋体" w:hAnsi="宋体" w:cs="宋体"/>
                <w:b/>
                <w:bCs/>
                <w:sz w:val="20"/>
              </w:rPr>
              <w:t>4</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restart"/>
            <w:vAlign w:val="center"/>
          </w:tcPr>
          <w:p>
            <w:pPr>
              <w:widowControl/>
              <w:rPr>
                <w:rFonts w:ascii="宋体" w:hAnsi="宋体" w:cs="宋体"/>
                <w:sz w:val="20"/>
              </w:rPr>
            </w:pPr>
            <w:r>
              <w:rPr>
                <w:rFonts w:ascii="宋体" w:hAnsi="宋体" w:cs="宋体"/>
                <w:sz w:val="20"/>
              </w:rPr>
              <w:t>提高与创新</w:t>
            </w:r>
          </w:p>
        </w:tc>
        <w:tc>
          <w:tcPr>
            <w:tcW w:w="492" w:type="pct"/>
            <w:shd w:val="clear" w:color="auto" w:fill="auto"/>
            <w:noWrap/>
            <w:vAlign w:val="center"/>
          </w:tcPr>
          <w:p>
            <w:pPr>
              <w:widowControl/>
              <w:rPr>
                <w:rFonts w:ascii="宋体" w:hAnsi="宋体" w:cs="宋体"/>
                <w:sz w:val="20"/>
              </w:rPr>
            </w:pPr>
            <w:r>
              <w:rPr>
                <w:rFonts w:ascii="宋体" w:hAnsi="宋体" w:cs="宋体"/>
                <w:sz w:val="20"/>
              </w:rPr>
              <w:t>9.2.1</w:t>
            </w:r>
          </w:p>
        </w:tc>
        <w:tc>
          <w:tcPr>
            <w:tcW w:w="2646" w:type="pct"/>
            <w:gridSpan w:val="9"/>
            <w:shd w:val="clear" w:color="auto" w:fill="auto"/>
            <w:vAlign w:val="center"/>
          </w:tcPr>
          <w:p>
            <w:pPr>
              <w:widowControl/>
              <w:rPr>
                <w:rFonts w:ascii="宋体" w:hAnsi="宋体" w:cs="宋体"/>
                <w:bCs/>
                <w:sz w:val="20"/>
              </w:rPr>
            </w:pPr>
            <w:r>
              <w:rPr>
                <w:rFonts w:ascii="宋体" w:hAnsi="宋体" w:cs="宋体"/>
                <w:bCs/>
                <w:sz w:val="20"/>
              </w:rPr>
              <w:t>降低建筑供暖空调系统的能耗：</w:t>
            </w:r>
          </w:p>
          <w:p>
            <w:pPr>
              <w:widowControl/>
              <w:rPr>
                <w:rFonts w:ascii="宋体" w:hAnsi="宋体" w:cs="宋体"/>
                <w:bCs/>
                <w:sz w:val="20"/>
              </w:rPr>
            </w:pPr>
            <w:r>
              <w:rPr>
                <w:rFonts w:ascii="宋体" w:hAnsi="宋体" w:cs="宋体"/>
                <w:bCs/>
                <w:sz w:val="20"/>
              </w:rPr>
              <w:t>建筑供暖空调系统能耗比国家现行有关建筑节能标准降低40%，得10分；</w:t>
            </w:r>
          </w:p>
          <w:p>
            <w:pPr>
              <w:widowControl/>
              <w:rPr>
                <w:rFonts w:ascii="宋体" w:hAnsi="宋体" w:cs="宋体"/>
                <w:bCs/>
                <w:sz w:val="20"/>
              </w:rPr>
            </w:pPr>
            <w:r>
              <w:rPr>
                <w:rFonts w:ascii="宋体" w:hAnsi="宋体" w:cs="宋体"/>
                <w:bCs/>
                <w:sz w:val="20"/>
              </w:rPr>
              <w:t>建筑供暖空调系统能耗比国家现行有关建筑节能标准降低50%，得15分；</w:t>
            </w:r>
          </w:p>
          <w:p>
            <w:pPr>
              <w:widowControl/>
              <w:rPr>
                <w:rFonts w:ascii="宋体" w:hAnsi="宋体" w:cs="宋体"/>
                <w:bCs/>
                <w:sz w:val="20"/>
              </w:rPr>
            </w:pPr>
            <w:r>
              <w:rPr>
                <w:rFonts w:ascii="宋体" w:hAnsi="宋体" w:cs="宋体"/>
                <w:bCs/>
                <w:sz w:val="20"/>
              </w:rPr>
              <w:t>建筑供暖空调系统能耗比国家现行有关建筑节能标准降低60%，得20分；</w:t>
            </w:r>
          </w:p>
          <w:p>
            <w:pPr>
              <w:widowControl/>
              <w:rPr>
                <w:rFonts w:ascii="宋体" w:hAnsi="宋体" w:cs="宋体"/>
                <w:bCs/>
                <w:sz w:val="20"/>
              </w:rPr>
            </w:pPr>
            <w:r>
              <w:rPr>
                <w:rFonts w:ascii="宋体" w:hAnsi="宋体" w:cs="宋体"/>
                <w:bCs/>
                <w:sz w:val="20"/>
              </w:rPr>
              <w:t>建筑供暖空调系统能耗比国家现行有关建筑节能标准降低70%，得25分；</w:t>
            </w:r>
          </w:p>
          <w:p>
            <w:pPr>
              <w:widowControl/>
              <w:rPr>
                <w:rFonts w:ascii="宋体" w:hAnsi="宋体" w:cs="宋体"/>
                <w:bCs/>
                <w:sz w:val="20"/>
              </w:rPr>
            </w:pPr>
            <w:r>
              <w:rPr>
                <w:rFonts w:ascii="宋体" w:hAnsi="宋体" w:cs="宋体"/>
                <w:bCs/>
                <w:sz w:val="20"/>
              </w:rPr>
              <w:t>建筑供暖空调系统能耗比国家现行有关建筑节能标准降低80%，得30分。</w:t>
            </w:r>
          </w:p>
        </w:tc>
        <w:tc>
          <w:tcPr>
            <w:tcW w:w="391" w:type="pct"/>
            <w:vAlign w:val="center"/>
          </w:tcPr>
          <w:p>
            <w:pPr>
              <w:widowControl/>
              <w:jc w:val="center"/>
              <w:rPr>
                <w:rFonts w:ascii="宋体" w:hAnsi="宋体" w:cs="宋体"/>
                <w:b/>
                <w:bCs/>
                <w:sz w:val="20"/>
              </w:rPr>
            </w:pPr>
            <w:r>
              <w:rPr>
                <w:rFonts w:ascii="宋体" w:hAnsi="宋体" w:cs="宋体"/>
                <w:b/>
                <w:bCs/>
                <w:sz w:val="20"/>
              </w:rPr>
              <w:t>30</w:t>
            </w:r>
          </w:p>
        </w:tc>
        <w:tc>
          <w:tcPr>
            <w:tcW w:w="375" w:type="pct"/>
            <w:vAlign w:val="center"/>
          </w:tcPr>
          <w:p>
            <w:pPr>
              <w:widowControl/>
              <w:jc w:val="center"/>
              <w:rPr>
                <w:rFonts w:ascii="宋体" w:hAnsi="宋体" w:cs="宋体"/>
                <w:b/>
                <w:bCs/>
                <w:sz w:val="20"/>
              </w:rPr>
            </w:pPr>
            <w:r>
              <w:rPr>
                <w:rFonts w:ascii="宋体" w:hAnsi="宋体" w:cs="宋体"/>
                <w:b/>
                <w:bCs/>
                <w:sz w:val="20"/>
              </w:rPr>
              <w:t>30</w:t>
            </w:r>
          </w:p>
        </w:tc>
        <w:tc>
          <w:tcPr>
            <w:tcW w:w="455" w:type="pct"/>
            <w:vAlign w:val="center"/>
          </w:tcPr>
          <w:p>
            <w:pPr>
              <w:widowControl/>
              <w:rPr>
                <w:rFonts w:ascii="宋体" w:hAnsi="宋体" w:cs="宋体"/>
                <w:sz w:val="20"/>
              </w:rPr>
            </w:pP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9.2.2</w:t>
            </w:r>
          </w:p>
        </w:tc>
        <w:tc>
          <w:tcPr>
            <w:tcW w:w="2646" w:type="pct"/>
            <w:gridSpan w:val="9"/>
            <w:shd w:val="clear" w:color="auto" w:fill="auto"/>
            <w:vAlign w:val="center"/>
          </w:tcPr>
          <w:p>
            <w:pPr>
              <w:widowControl/>
              <w:rPr>
                <w:rFonts w:ascii="宋体" w:hAnsi="宋体" w:cs="宋体"/>
                <w:bCs/>
                <w:sz w:val="20"/>
              </w:rPr>
            </w:pPr>
            <w:r>
              <w:rPr>
                <w:rFonts w:ascii="宋体" w:hAnsi="宋体" w:cs="宋体"/>
                <w:bCs/>
                <w:sz w:val="20"/>
              </w:rPr>
              <w:t>采用适宜地区特色的建筑风貌设计，因地制宜传承地域建筑文化。</w:t>
            </w:r>
          </w:p>
        </w:tc>
        <w:tc>
          <w:tcPr>
            <w:tcW w:w="391" w:type="pct"/>
            <w:vAlign w:val="center"/>
          </w:tcPr>
          <w:p>
            <w:pPr>
              <w:widowControl/>
              <w:jc w:val="center"/>
              <w:rPr>
                <w:rFonts w:ascii="宋体" w:hAnsi="宋体" w:cs="宋体"/>
                <w:b/>
                <w:bCs/>
                <w:sz w:val="20"/>
              </w:rPr>
            </w:pPr>
            <w:r>
              <w:rPr>
                <w:rFonts w:ascii="宋体" w:hAnsi="宋体" w:cs="宋体"/>
                <w:b/>
                <w:bCs/>
                <w:sz w:val="20"/>
              </w:rPr>
              <w:t>20</w:t>
            </w:r>
          </w:p>
        </w:tc>
        <w:tc>
          <w:tcPr>
            <w:tcW w:w="375" w:type="pct"/>
            <w:vAlign w:val="center"/>
          </w:tcPr>
          <w:p>
            <w:pPr>
              <w:widowControl/>
              <w:jc w:val="center"/>
              <w:rPr>
                <w:rFonts w:ascii="宋体" w:hAnsi="宋体" w:cs="宋体"/>
                <w:b/>
                <w:bCs/>
                <w:sz w:val="20"/>
              </w:rPr>
            </w:pPr>
            <w:r>
              <w:rPr>
                <w:rFonts w:ascii="宋体" w:hAnsi="宋体" w:cs="宋体"/>
                <w:b/>
                <w:bCs/>
                <w:sz w:val="20"/>
              </w:rPr>
              <w:t>20</w:t>
            </w:r>
          </w:p>
        </w:tc>
        <w:tc>
          <w:tcPr>
            <w:tcW w:w="455" w:type="pct"/>
            <w:vAlign w:val="center"/>
          </w:tcPr>
          <w:p>
            <w:pPr>
              <w:widowControl/>
              <w:rPr>
                <w:rFonts w:ascii="宋体" w:hAnsi="宋体" w:cs="宋体"/>
                <w:sz w:val="20"/>
              </w:rPr>
            </w:pP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9.2.3</w:t>
            </w:r>
          </w:p>
        </w:tc>
        <w:tc>
          <w:tcPr>
            <w:tcW w:w="2646" w:type="pct"/>
            <w:gridSpan w:val="9"/>
            <w:shd w:val="clear" w:color="auto" w:fill="auto"/>
            <w:vAlign w:val="center"/>
          </w:tcPr>
          <w:p>
            <w:pPr>
              <w:widowControl/>
              <w:rPr>
                <w:rFonts w:ascii="宋体" w:hAnsi="宋体" w:cs="宋体"/>
                <w:bCs/>
                <w:sz w:val="20"/>
              </w:rPr>
            </w:pPr>
            <w:r>
              <w:rPr>
                <w:rFonts w:ascii="宋体" w:hAnsi="宋体" w:cs="宋体"/>
                <w:bCs/>
                <w:sz w:val="20"/>
              </w:rPr>
              <w:t>合理选用废弃场地进行建设，或充分利尚可使用的旧建筑。</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Align w:val="center"/>
          </w:tcPr>
          <w:p>
            <w:pPr>
              <w:widowControl/>
              <w:jc w:val="center"/>
              <w:rPr>
                <w:rFonts w:ascii="宋体" w:hAnsi="宋体" w:cs="宋体"/>
                <w:b/>
                <w:bCs/>
                <w:sz w:val="20"/>
              </w:rPr>
            </w:pPr>
            <w:r>
              <w:rPr>
                <w:rFonts w:ascii="宋体" w:hAnsi="宋体" w:cs="宋体"/>
                <w:b/>
                <w:bCs/>
                <w:sz w:val="20"/>
              </w:rPr>
              <w:t>8</w:t>
            </w:r>
          </w:p>
        </w:tc>
        <w:tc>
          <w:tcPr>
            <w:tcW w:w="455" w:type="pct"/>
            <w:vAlign w:val="center"/>
          </w:tcPr>
          <w:p>
            <w:pPr>
              <w:widowControl/>
              <w:rPr>
                <w:rFonts w:ascii="宋体" w:hAnsi="宋体" w:cs="宋体"/>
                <w:sz w:val="20"/>
              </w:rPr>
            </w:pP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9.2.4</w:t>
            </w:r>
          </w:p>
        </w:tc>
        <w:tc>
          <w:tcPr>
            <w:tcW w:w="2646" w:type="pct"/>
            <w:gridSpan w:val="9"/>
            <w:shd w:val="clear" w:color="auto" w:fill="auto"/>
            <w:vAlign w:val="center"/>
          </w:tcPr>
          <w:p>
            <w:pPr>
              <w:widowControl/>
              <w:rPr>
                <w:rFonts w:ascii="宋体" w:hAnsi="宋体" w:cs="宋体"/>
                <w:bCs/>
                <w:sz w:val="20"/>
              </w:rPr>
            </w:pPr>
            <w:r>
              <w:rPr>
                <w:rFonts w:ascii="宋体" w:hAnsi="宋体" w:cs="宋体"/>
                <w:bCs/>
                <w:sz w:val="20"/>
              </w:rPr>
              <w:t>场地绿容率计算值不低于3.0，得3分；</w:t>
            </w:r>
          </w:p>
          <w:p>
            <w:pPr>
              <w:widowControl/>
              <w:rPr>
                <w:rFonts w:ascii="宋体" w:hAnsi="宋体" w:cs="宋体"/>
                <w:bCs/>
                <w:sz w:val="20"/>
              </w:rPr>
            </w:pPr>
            <w:r>
              <w:rPr>
                <w:rFonts w:ascii="宋体" w:hAnsi="宋体" w:cs="宋体"/>
                <w:bCs/>
                <w:sz w:val="20"/>
              </w:rPr>
              <w:t>场地绿容率实测值不低于3.0，得5分。</w:t>
            </w:r>
          </w:p>
        </w:tc>
        <w:tc>
          <w:tcPr>
            <w:tcW w:w="391" w:type="pct"/>
            <w:vAlign w:val="center"/>
          </w:tcPr>
          <w:p>
            <w:pPr>
              <w:widowControl/>
              <w:jc w:val="center"/>
              <w:rPr>
                <w:rFonts w:ascii="宋体" w:hAnsi="宋体" w:cs="宋体"/>
                <w:b/>
                <w:bCs/>
                <w:sz w:val="20"/>
              </w:rPr>
            </w:pPr>
            <w:r>
              <w:rPr>
                <w:rFonts w:ascii="宋体" w:hAnsi="宋体" w:cs="宋体"/>
                <w:b/>
                <w:bCs/>
                <w:sz w:val="20"/>
              </w:rPr>
              <w:t>5</w:t>
            </w:r>
          </w:p>
        </w:tc>
        <w:tc>
          <w:tcPr>
            <w:tcW w:w="375" w:type="pct"/>
            <w:vAlign w:val="center"/>
          </w:tcPr>
          <w:p>
            <w:pPr>
              <w:widowControl/>
              <w:jc w:val="center"/>
              <w:rPr>
                <w:rFonts w:ascii="宋体" w:hAnsi="宋体" w:cs="宋体"/>
                <w:b/>
                <w:bCs/>
                <w:sz w:val="20"/>
              </w:rPr>
            </w:pPr>
            <w:r>
              <w:rPr>
                <w:rFonts w:ascii="宋体" w:hAnsi="宋体" w:cs="宋体"/>
                <w:b/>
                <w:bCs/>
                <w:sz w:val="20"/>
              </w:rPr>
              <w:t>5</w:t>
            </w:r>
          </w:p>
        </w:tc>
        <w:tc>
          <w:tcPr>
            <w:tcW w:w="455" w:type="pct"/>
            <w:vAlign w:val="center"/>
          </w:tcPr>
          <w:p>
            <w:pPr>
              <w:widowControl/>
              <w:rPr>
                <w:rFonts w:ascii="宋体" w:hAnsi="宋体" w:cs="宋体"/>
                <w:sz w:val="20"/>
              </w:rPr>
            </w:pP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9.2.5</w:t>
            </w:r>
          </w:p>
        </w:tc>
        <w:tc>
          <w:tcPr>
            <w:tcW w:w="512" w:type="pct"/>
            <w:vMerge w:val="restart"/>
            <w:shd w:val="clear" w:color="auto" w:fill="auto"/>
            <w:vAlign w:val="center"/>
          </w:tcPr>
          <w:p>
            <w:pPr>
              <w:widowControl/>
              <w:rPr>
                <w:rFonts w:ascii="宋体" w:hAnsi="宋体" w:cs="宋体"/>
                <w:bCs/>
                <w:sz w:val="20"/>
              </w:rPr>
            </w:pPr>
            <w:r>
              <w:rPr>
                <w:rFonts w:ascii="宋体" w:hAnsi="宋体" w:cs="宋体"/>
                <w:bCs/>
                <w:sz w:val="20"/>
              </w:rPr>
              <w:t>特殊结构体系</w:t>
            </w:r>
          </w:p>
        </w:tc>
        <w:tc>
          <w:tcPr>
            <w:tcW w:w="2134" w:type="pct"/>
            <w:gridSpan w:val="8"/>
            <w:shd w:val="clear" w:color="auto" w:fill="auto"/>
            <w:vAlign w:val="center"/>
          </w:tcPr>
          <w:p>
            <w:pPr>
              <w:widowControl/>
              <w:rPr>
                <w:rFonts w:ascii="宋体" w:hAnsi="宋体" w:cs="宋体"/>
                <w:bCs/>
                <w:sz w:val="20"/>
              </w:rPr>
            </w:pPr>
            <w:r>
              <w:rPr>
                <w:rFonts w:ascii="宋体" w:hAnsi="宋体" w:cs="宋体"/>
                <w:bCs/>
                <w:sz w:val="20"/>
              </w:rPr>
              <w:t>主体结构采用钢结构、木结构。</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10</w:t>
            </w:r>
          </w:p>
        </w:tc>
        <w:tc>
          <w:tcPr>
            <w:tcW w:w="455" w:type="pct"/>
            <w:vAlign w:val="center"/>
          </w:tcPr>
          <w:p>
            <w:pPr>
              <w:widowControl/>
              <w:rPr>
                <w:rFonts w:ascii="宋体" w:hAnsi="宋体" w:cs="宋体"/>
                <w:sz w:val="20"/>
              </w:rPr>
            </w:pP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widowControl/>
              <w:rPr>
                <w:rFonts w:ascii="宋体" w:hAnsi="宋体" w:cs="宋体"/>
                <w:bCs/>
                <w:sz w:val="20"/>
              </w:rPr>
            </w:pPr>
            <w:r>
              <w:rPr>
                <w:rFonts w:ascii="宋体" w:hAnsi="宋体" w:cs="宋体"/>
                <w:bCs/>
                <w:sz w:val="20"/>
              </w:rPr>
              <w:t>主体结构采用装配式混凝土结构，地上部分预制构件应用混凝土体积占混凝土总体积的比例达到35%，得5分；</w:t>
            </w:r>
          </w:p>
          <w:p>
            <w:pPr>
              <w:widowControl/>
              <w:rPr>
                <w:rFonts w:ascii="宋体" w:hAnsi="宋体" w:cs="宋体"/>
                <w:bCs/>
                <w:sz w:val="20"/>
              </w:rPr>
            </w:pPr>
            <w:r>
              <w:rPr>
                <w:rFonts w:ascii="宋体" w:hAnsi="宋体" w:cs="宋体"/>
                <w:bCs/>
                <w:sz w:val="20"/>
              </w:rPr>
              <w:t>主体结构采用装配式混凝土结构，地上部分预制构件应用混凝土体积占混凝土总体积的比例达到50%，得10分。</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sz w:val="20"/>
              </w:rPr>
            </w:pP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9.2.6</w:t>
            </w:r>
          </w:p>
        </w:tc>
        <w:tc>
          <w:tcPr>
            <w:tcW w:w="2646" w:type="pct"/>
            <w:gridSpan w:val="9"/>
            <w:shd w:val="clear" w:color="auto" w:fill="auto"/>
            <w:vAlign w:val="center"/>
          </w:tcPr>
          <w:p>
            <w:pPr>
              <w:widowControl/>
              <w:rPr>
                <w:rFonts w:ascii="宋体" w:hAnsi="宋体" w:cs="宋体"/>
                <w:bCs/>
                <w:sz w:val="20"/>
              </w:rPr>
            </w:pPr>
            <w:r>
              <w:rPr>
                <w:rFonts w:ascii="宋体" w:hAnsi="宋体" w:cs="宋体"/>
                <w:bCs/>
                <w:sz w:val="20"/>
              </w:rPr>
              <w:t>BIM技术在建筑的规划设计、施工建造和运行维护阶段中应用情况与得分：在其中一个阶段应用，得5分；在其中两个阶段应用，得10分；在其中三个阶段应用，得15分。</w:t>
            </w:r>
          </w:p>
          <w:p>
            <w:pPr>
              <w:pStyle w:val="13"/>
              <w:ind w:firstLine="0" w:firstLineChars="0"/>
              <w:jc w:val="both"/>
              <w:rPr>
                <w:rFonts w:ascii="宋体" w:hAnsi="宋体" w:eastAsia="宋体"/>
                <w:lang w:eastAsia="zh-CN"/>
              </w:rPr>
            </w:pPr>
            <w:r>
              <w:rPr>
                <w:rFonts w:ascii="宋体" w:hAnsi="宋体" w:eastAsia="宋体" w:cs="宋体"/>
                <w:bCs/>
                <w:lang w:eastAsia="zh-CN"/>
              </w:rPr>
              <w:t>□规划设计阶段；□施工建造；□运行维护阶段；</w:t>
            </w:r>
          </w:p>
        </w:tc>
        <w:tc>
          <w:tcPr>
            <w:tcW w:w="391" w:type="pct"/>
            <w:vAlign w:val="center"/>
          </w:tcPr>
          <w:p>
            <w:pPr>
              <w:widowControl/>
              <w:jc w:val="center"/>
              <w:rPr>
                <w:rFonts w:ascii="宋体" w:hAnsi="宋体" w:cs="宋体"/>
                <w:b/>
                <w:bCs/>
                <w:sz w:val="20"/>
              </w:rPr>
            </w:pPr>
            <w:r>
              <w:rPr>
                <w:rFonts w:ascii="宋体" w:hAnsi="宋体" w:cs="宋体"/>
                <w:b/>
                <w:bCs/>
                <w:sz w:val="20"/>
              </w:rPr>
              <w:t>15</w:t>
            </w:r>
          </w:p>
        </w:tc>
        <w:tc>
          <w:tcPr>
            <w:tcW w:w="375" w:type="pct"/>
            <w:vAlign w:val="center"/>
          </w:tcPr>
          <w:p>
            <w:pPr>
              <w:widowControl/>
              <w:jc w:val="center"/>
              <w:rPr>
                <w:rFonts w:ascii="宋体" w:hAnsi="宋体" w:cs="宋体"/>
                <w:b/>
                <w:bCs/>
                <w:sz w:val="20"/>
              </w:rPr>
            </w:pPr>
            <w:r>
              <w:rPr>
                <w:rFonts w:ascii="宋体" w:hAnsi="宋体" w:cs="宋体"/>
                <w:b/>
                <w:bCs/>
                <w:sz w:val="20"/>
              </w:rPr>
              <w:t>15</w:t>
            </w:r>
          </w:p>
        </w:tc>
        <w:tc>
          <w:tcPr>
            <w:tcW w:w="455" w:type="pct"/>
            <w:vAlign w:val="center"/>
          </w:tcPr>
          <w:p>
            <w:pPr>
              <w:widowControl/>
              <w:rPr>
                <w:rFonts w:ascii="宋体" w:hAnsi="宋体" w:cs="宋体"/>
                <w:sz w:val="20"/>
              </w:rPr>
            </w:pP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shd w:val="clear" w:color="auto" w:fill="auto"/>
            <w:noWrap/>
            <w:vAlign w:val="center"/>
          </w:tcPr>
          <w:p>
            <w:pPr>
              <w:widowControl/>
              <w:rPr>
                <w:rFonts w:ascii="宋体" w:hAnsi="宋体" w:cs="宋体"/>
                <w:sz w:val="20"/>
              </w:rPr>
            </w:pPr>
            <w:r>
              <w:rPr>
                <w:rFonts w:ascii="宋体" w:hAnsi="宋体" w:cs="宋体"/>
                <w:sz w:val="20"/>
              </w:rPr>
              <w:t>9.2.7</w:t>
            </w:r>
          </w:p>
        </w:tc>
        <w:tc>
          <w:tcPr>
            <w:tcW w:w="2646" w:type="pct"/>
            <w:gridSpan w:val="9"/>
            <w:shd w:val="clear" w:color="auto" w:fill="auto"/>
            <w:vAlign w:val="center"/>
          </w:tcPr>
          <w:p>
            <w:pPr>
              <w:widowControl/>
              <w:rPr>
                <w:rFonts w:ascii="宋体" w:hAnsi="宋体" w:cs="宋体"/>
                <w:bCs/>
                <w:sz w:val="20"/>
              </w:rPr>
            </w:pPr>
            <w:r>
              <w:rPr>
                <w:rFonts w:ascii="宋体" w:hAnsi="宋体" w:cs="宋体"/>
                <w:bCs/>
                <w:sz w:val="20"/>
              </w:rPr>
              <w:t>进行建筑碳排放计算分析，采取措施降低单位面积碳排放强度。</w:t>
            </w:r>
          </w:p>
        </w:tc>
        <w:tc>
          <w:tcPr>
            <w:tcW w:w="391" w:type="pct"/>
            <w:vAlign w:val="center"/>
          </w:tcPr>
          <w:p>
            <w:pPr>
              <w:widowControl/>
              <w:jc w:val="center"/>
              <w:rPr>
                <w:rFonts w:ascii="宋体" w:hAnsi="宋体" w:cs="宋体"/>
                <w:b/>
                <w:bCs/>
                <w:sz w:val="20"/>
              </w:rPr>
            </w:pPr>
            <w:r>
              <w:rPr>
                <w:rFonts w:ascii="宋体" w:hAnsi="宋体" w:cs="宋体"/>
                <w:b/>
                <w:bCs/>
                <w:sz w:val="20"/>
              </w:rPr>
              <w:t>12</w:t>
            </w:r>
          </w:p>
        </w:tc>
        <w:tc>
          <w:tcPr>
            <w:tcW w:w="375" w:type="pct"/>
            <w:vAlign w:val="center"/>
          </w:tcPr>
          <w:p>
            <w:pPr>
              <w:widowControl/>
              <w:jc w:val="center"/>
              <w:rPr>
                <w:rFonts w:ascii="宋体" w:hAnsi="宋体" w:cs="宋体"/>
                <w:b/>
                <w:bCs/>
                <w:sz w:val="20"/>
              </w:rPr>
            </w:pPr>
            <w:r>
              <w:rPr>
                <w:rFonts w:ascii="宋体" w:hAnsi="宋体" w:cs="宋体"/>
                <w:b/>
                <w:bCs/>
                <w:sz w:val="20"/>
              </w:rPr>
              <w:t>12</w:t>
            </w:r>
          </w:p>
        </w:tc>
        <w:tc>
          <w:tcPr>
            <w:tcW w:w="455" w:type="pct"/>
            <w:vAlign w:val="center"/>
          </w:tcPr>
          <w:p>
            <w:pPr>
              <w:widowControl/>
              <w:rPr>
                <w:rFonts w:ascii="宋体" w:hAnsi="宋体" w:cs="宋体"/>
                <w:sz w:val="20"/>
              </w:rPr>
            </w:pP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9.2.8</w:t>
            </w:r>
          </w:p>
        </w:tc>
        <w:tc>
          <w:tcPr>
            <w:tcW w:w="512" w:type="pct"/>
            <w:vMerge w:val="restart"/>
            <w:shd w:val="clear" w:color="auto" w:fill="auto"/>
            <w:vAlign w:val="center"/>
          </w:tcPr>
          <w:p>
            <w:pPr>
              <w:widowControl/>
              <w:rPr>
                <w:rFonts w:ascii="宋体" w:hAnsi="宋体" w:cs="宋体"/>
                <w:bCs/>
                <w:sz w:val="20"/>
              </w:rPr>
            </w:pPr>
            <w:r>
              <w:rPr>
                <w:rFonts w:ascii="宋体" w:hAnsi="宋体" w:cs="宋体"/>
                <w:bCs/>
                <w:sz w:val="20"/>
              </w:rPr>
              <w:t>绿色施工和管理</w:t>
            </w:r>
          </w:p>
        </w:tc>
        <w:tc>
          <w:tcPr>
            <w:tcW w:w="2134" w:type="pct"/>
            <w:gridSpan w:val="8"/>
            <w:shd w:val="clear" w:color="auto" w:fill="auto"/>
            <w:vAlign w:val="center"/>
          </w:tcPr>
          <w:p>
            <w:pPr>
              <w:rPr>
                <w:rFonts w:ascii="宋体" w:hAnsi="宋体" w:cs="宋体"/>
                <w:sz w:val="20"/>
              </w:rPr>
            </w:pPr>
            <w:r>
              <w:rPr>
                <w:rFonts w:ascii="宋体" w:hAnsi="宋体" w:cs="宋体"/>
                <w:sz w:val="20"/>
              </w:rPr>
              <w:t>获得绿色施工优良等级或绿色施工示范工程认定。</w:t>
            </w:r>
          </w:p>
        </w:tc>
        <w:tc>
          <w:tcPr>
            <w:tcW w:w="391" w:type="pct"/>
            <w:vAlign w:val="center"/>
          </w:tcPr>
          <w:p>
            <w:pPr>
              <w:widowControl/>
              <w:jc w:val="center"/>
              <w:rPr>
                <w:rFonts w:ascii="宋体" w:hAnsi="宋体" w:cs="宋体"/>
                <w:b/>
                <w:bCs/>
                <w:sz w:val="20"/>
              </w:rPr>
            </w:pPr>
            <w:r>
              <w:rPr>
                <w:rFonts w:ascii="宋体" w:hAnsi="宋体" w:cs="宋体"/>
                <w:b/>
                <w:bCs/>
                <w:sz w:val="20"/>
              </w:rPr>
              <w:t>8</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20</w:t>
            </w:r>
          </w:p>
        </w:tc>
        <w:tc>
          <w:tcPr>
            <w:tcW w:w="455" w:type="pct"/>
            <w:vAlign w:val="center"/>
          </w:tcPr>
          <w:p>
            <w:pPr>
              <w:widowControl/>
              <w:rPr>
                <w:rFonts w:ascii="宋体" w:hAnsi="宋体" w:cs="宋体"/>
                <w:sz w:val="20"/>
              </w:rPr>
            </w:pP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采取措施减少预拌混凝土损耗，损耗率降低至1.0%。</w:t>
            </w:r>
          </w:p>
        </w:tc>
        <w:tc>
          <w:tcPr>
            <w:tcW w:w="391" w:type="pct"/>
            <w:vAlign w:val="center"/>
          </w:tcPr>
          <w:p>
            <w:pPr>
              <w:widowControl/>
              <w:jc w:val="center"/>
              <w:rPr>
                <w:rFonts w:ascii="宋体" w:hAnsi="宋体" w:cs="宋体"/>
                <w:b/>
                <w:bCs/>
                <w:sz w:val="20"/>
              </w:rPr>
            </w:pPr>
            <w:r>
              <w:rPr>
                <w:rFonts w:ascii="宋体" w:hAnsi="宋体" w:cs="宋体"/>
                <w:b/>
                <w:bCs/>
                <w:sz w:val="20"/>
              </w:rPr>
              <w:t>4</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sz w:val="20"/>
              </w:rPr>
            </w:pP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采取措施减少现场加工钢筋损耗，损耗率降低至1.5%。</w:t>
            </w:r>
          </w:p>
        </w:tc>
        <w:tc>
          <w:tcPr>
            <w:tcW w:w="391" w:type="pct"/>
            <w:vAlign w:val="center"/>
          </w:tcPr>
          <w:p>
            <w:pPr>
              <w:widowControl/>
              <w:jc w:val="center"/>
              <w:rPr>
                <w:rFonts w:ascii="宋体" w:hAnsi="宋体" w:cs="宋体"/>
                <w:b/>
                <w:bCs/>
                <w:sz w:val="20"/>
              </w:rPr>
            </w:pPr>
            <w:r>
              <w:rPr>
                <w:rFonts w:ascii="宋体" w:hAnsi="宋体" w:cs="宋体"/>
                <w:b/>
                <w:bCs/>
                <w:sz w:val="20"/>
              </w:rPr>
              <w:t>4</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sz w:val="20"/>
              </w:rPr>
            </w:pP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现浇混凝土构件采用铝模等免墙面粉刷的模板体系。</w:t>
            </w:r>
          </w:p>
        </w:tc>
        <w:tc>
          <w:tcPr>
            <w:tcW w:w="391" w:type="pct"/>
            <w:vAlign w:val="center"/>
          </w:tcPr>
          <w:p>
            <w:pPr>
              <w:widowControl/>
              <w:jc w:val="center"/>
              <w:rPr>
                <w:rFonts w:ascii="宋体" w:hAnsi="宋体" w:cs="宋体"/>
                <w:b/>
                <w:bCs/>
                <w:sz w:val="20"/>
              </w:rPr>
            </w:pPr>
            <w:r>
              <w:rPr>
                <w:rFonts w:ascii="宋体" w:hAnsi="宋体" w:cs="宋体"/>
                <w:b/>
                <w:bCs/>
                <w:sz w:val="20"/>
              </w:rPr>
              <w:t>4</w:t>
            </w:r>
          </w:p>
        </w:tc>
        <w:tc>
          <w:tcPr>
            <w:tcW w:w="375" w:type="pct"/>
            <w:vMerge w:val="continue"/>
            <w:vAlign w:val="center"/>
          </w:tcPr>
          <w:p>
            <w:pPr>
              <w:widowControl/>
              <w:jc w:val="center"/>
              <w:rPr>
                <w:rFonts w:ascii="宋体" w:hAnsi="宋体" w:cs="宋体"/>
                <w:b/>
                <w:bCs/>
                <w:sz w:val="20"/>
              </w:rPr>
            </w:pPr>
          </w:p>
        </w:tc>
        <w:tc>
          <w:tcPr>
            <w:tcW w:w="455" w:type="pct"/>
            <w:vAlign w:val="center"/>
          </w:tcPr>
          <w:p>
            <w:pPr>
              <w:widowControl/>
              <w:rPr>
                <w:rFonts w:ascii="宋体" w:hAnsi="宋体" w:cs="宋体"/>
                <w:sz w:val="20"/>
              </w:rPr>
            </w:pP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9.2.9</w:t>
            </w:r>
          </w:p>
        </w:tc>
        <w:tc>
          <w:tcPr>
            <w:tcW w:w="512" w:type="pct"/>
            <w:vMerge w:val="restart"/>
            <w:shd w:val="clear" w:color="auto" w:fill="auto"/>
            <w:vAlign w:val="center"/>
          </w:tcPr>
          <w:p>
            <w:pPr>
              <w:widowControl/>
              <w:rPr>
                <w:rFonts w:ascii="宋体" w:hAnsi="宋体" w:cs="宋体"/>
                <w:bCs/>
                <w:sz w:val="20"/>
              </w:rPr>
            </w:pPr>
            <w:r>
              <w:rPr>
                <w:rFonts w:ascii="宋体" w:hAnsi="宋体" w:cs="宋体"/>
                <w:bCs/>
                <w:sz w:val="20"/>
              </w:rPr>
              <w:t>保险承保范围包括地基基础工程、主体结构工程、屋面防水工程和其他土建工程的质量问题</w:t>
            </w:r>
          </w:p>
        </w:tc>
        <w:tc>
          <w:tcPr>
            <w:tcW w:w="2134" w:type="pct"/>
            <w:gridSpan w:val="8"/>
            <w:shd w:val="clear" w:color="auto" w:fill="auto"/>
            <w:vAlign w:val="center"/>
          </w:tcPr>
          <w:p>
            <w:pPr>
              <w:rPr>
                <w:rFonts w:ascii="宋体" w:hAnsi="宋体" w:cs="宋体"/>
                <w:sz w:val="20"/>
              </w:rPr>
            </w:pPr>
            <w:r>
              <w:rPr>
                <w:rFonts w:ascii="宋体" w:hAnsi="宋体" w:cs="宋体"/>
                <w:sz w:val="20"/>
              </w:rPr>
              <w:t>保险承保范围包括地基基础工程、主体结构工程、屋面防水工程和其他土建工程的质量问题。</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20</w:t>
            </w:r>
          </w:p>
        </w:tc>
        <w:tc>
          <w:tcPr>
            <w:tcW w:w="455" w:type="pct"/>
            <w:vAlign w:val="center"/>
          </w:tcPr>
          <w:p>
            <w:pPr>
              <w:widowControl/>
              <w:rPr>
                <w:rFonts w:ascii="宋体" w:hAnsi="宋体" w:cs="宋体"/>
                <w:sz w:val="20"/>
              </w:rPr>
            </w:pPr>
          </w:p>
        </w:tc>
        <w:tc>
          <w:tcPr>
            <w:tcW w:w="386" w:type="pct"/>
          </w:tcPr>
          <w:p>
            <w:pPr>
              <w:widowControl/>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shd w:val="clear" w:color="auto" w:fill="auto"/>
            <w:vAlign w:val="center"/>
          </w:tcPr>
          <w:p>
            <w:pPr>
              <w:widowControl/>
              <w:rPr>
                <w:rFonts w:ascii="宋体" w:hAnsi="宋体" w:cs="宋体"/>
                <w:bCs/>
                <w:sz w:val="20"/>
              </w:rPr>
            </w:pPr>
          </w:p>
        </w:tc>
        <w:tc>
          <w:tcPr>
            <w:tcW w:w="2134" w:type="pct"/>
            <w:gridSpan w:val="8"/>
            <w:shd w:val="clear" w:color="auto" w:fill="auto"/>
            <w:vAlign w:val="center"/>
          </w:tcPr>
          <w:p>
            <w:pPr>
              <w:rPr>
                <w:rFonts w:ascii="宋体" w:hAnsi="宋体" w:cs="宋体"/>
                <w:sz w:val="20"/>
              </w:rPr>
            </w:pPr>
            <w:r>
              <w:rPr>
                <w:rFonts w:ascii="宋体" w:hAnsi="宋体" w:cs="宋体"/>
                <w:sz w:val="20"/>
              </w:rPr>
              <w:t>保险承保范围包括装修工程、电气管线、上下水管线的安装工程,供热、供冷系统工程的质量问题。</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Merge w:val="continue"/>
            <w:shd w:val="clear" w:color="auto" w:fill="auto"/>
            <w:vAlign w:val="center"/>
          </w:tcPr>
          <w:p>
            <w:pPr>
              <w:widowControl/>
              <w:jc w:val="center"/>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5" w:type="pct"/>
            <w:vMerge w:val="continue"/>
            <w:vAlign w:val="center"/>
          </w:tcPr>
          <w:p>
            <w:pPr>
              <w:widowControl/>
              <w:rPr>
                <w:rFonts w:ascii="宋体" w:hAnsi="宋体" w:cs="宋体"/>
                <w:sz w:val="20"/>
              </w:rPr>
            </w:pPr>
          </w:p>
        </w:tc>
        <w:tc>
          <w:tcPr>
            <w:tcW w:w="492" w:type="pct"/>
            <w:vMerge w:val="restart"/>
            <w:shd w:val="clear" w:color="auto" w:fill="auto"/>
            <w:noWrap/>
            <w:vAlign w:val="center"/>
          </w:tcPr>
          <w:p>
            <w:pPr>
              <w:widowControl/>
              <w:rPr>
                <w:rFonts w:ascii="宋体" w:hAnsi="宋体" w:cs="宋体"/>
                <w:sz w:val="20"/>
              </w:rPr>
            </w:pPr>
            <w:r>
              <w:rPr>
                <w:rFonts w:ascii="宋体" w:hAnsi="宋体" w:cs="宋体"/>
                <w:sz w:val="20"/>
              </w:rPr>
              <w:t>9.2.10</w:t>
            </w:r>
          </w:p>
        </w:tc>
        <w:tc>
          <w:tcPr>
            <w:tcW w:w="512" w:type="pct"/>
            <w:vMerge w:val="restart"/>
            <w:shd w:val="clear" w:color="auto" w:fill="auto"/>
            <w:vAlign w:val="center"/>
          </w:tcPr>
          <w:p>
            <w:pPr>
              <w:widowControl/>
              <w:rPr>
                <w:rFonts w:ascii="宋体" w:hAnsi="宋体" w:cs="宋体"/>
                <w:bCs/>
                <w:sz w:val="20"/>
              </w:rPr>
            </w:pPr>
            <w:r>
              <w:rPr>
                <w:rFonts w:ascii="宋体" w:hAnsi="宋体" w:cs="宋体"/>
                <w:bCs/>
                <w:sz w:val="20"/>
              </w:rPr>
              <w:t>其他创新策略</w:t>
            </w:r>
          </w:p>
        </w:tc>
        <w:tc>
          <w:tcPr>
            <w:tcW w:w="2134" w:type="pct"/>
            <w:gridSpan w:val="8"/>
            <w:shd w:val="clear" w:color="auto" w:fill="auto"/>
            <w:vAlign w:val="center"/>
          </w:tcPr>
          <w:p>
            <w:pPr>
              <w:rPr>
                <w:rFonts w:ascii="宋体" w:hAnsi="宋体" w:cs="宋体"/>
                <w:sz w:val="20"/>
              </w:rPr>
            </w:pPr>
            <w:r>
              <w:rPr>
                <w:rFonts w:ascii="宋体" w:hAnsi="宋体" w:cs="宋体"/>
                <w:sz w:val="20"/>
              </w:rPr>
              <w:t>采取节约资源的其他创新。</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Merge w:val="restart"/>
            <w:shd w:val="clear" w:color="auto" w:fill="auto"/>
            <w:vAlign w:val="center"/>
          </w:tcPr>
          <w:p>
            <w:pPr>
              <w:widowControl/>
              <w:jc w:val="center"/>
              <w:rPr>
                <w:rFonts w:ascii="宋体" w:hAnsi="宋体" w:cs="宋体"/>
                <w:b/>
                <w:bCs/>
                <w:sz w:val="20"/>
              </w:rPr>
            </w:pPr>
            <w:r>
              <w:rPr>
                <w:rFonts w:ascii="宋体" w:hAnsi="宋体" w:cs="宋体"/>
                <w:b/>
                <w:bCs/>
                <w:sz w:val="20"/>
              </w:rPr>
              <w:t>40</w:t>
            </w: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采取保护生态环境的其他创新。</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Merge w:val="continue"/>
            <w:vAlign w:val="center"/>
          </w:tcPr>
          <w:p>
            <w:pPr>
              <w:widowControl/>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采取保障安全健康的其他创新。</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Merge w:val="continue"/>
            <w:vAlign w:val="center"/>
          </w:tcPr>
          <w:p>
            <w:pPr>
              <w:widowControl/>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采取智慧友好运行的其他创新。</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Merge w:val="continue"/>
            <w:vAlign w:val="center"/>
          </w:tcPr>
          <w:p>
            <w:pPr>
              <w:widowControl/>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55" w:type="pct"/>
            <w:vMerge w:val="continue"/>
            <w:vAlign w:val="center"/>
          </w:tcPr>
          <w:p>
            <w:pPr>
              <w:widowControl/>
              <w:rPr>
                <w:rFonts w:ascii="宋体" w:hAnsi="宋体" w:cs="宋体"/>
                <w:sz w:val="20"/>
              </w:rPr>
            </w:pPr>
          </w:p>
        </w:tc>
        <w:tc>
          <w:tcPr>
            <w:tcW w:w="492" w:type="pct"/>
            <w:vMerge w:val="continue"/>
            <w:vAlign w:val="center"/>
          </w:tcPr>
          <w:p>
            <w:pPr>
              <w:widowControl/>
              <w:rPr>
                <w:rFonts w:ascii="宋体" w:hAnsi="宋体" w:cs="宋体"/>
                <w:sz w:val="20"/>
              </w:rPr>
            </w:pPr>
          </w:p>
        </w:tc>
        <w:tc>
          <w:tcPr>
            <w:tcW w:w="512" w:type="pct"/>
            <w:vMerge w:val="continue"/>
            <w:vAlign w:val="center"/>
          </w:tcPr>
          <w:p>
            <w:pPr>
              <w:widowControl/>
              <w:rPr>
                <w:rFonts w:ascii="宋体" w:hAnsi="宋体" w:cs="宋体"/>
                <w:bCs/>
                <w:sz w:val="20"/>
              </w:rPr>
            </w:pPr>
          </w:p>
        </w:tc>
        <w:tc>
          <w:tcPr>
            <w:tcW w:w="2134" w:type="pct"/>
            <w:gridSpan w:val="8"/>
            <w:vAlign w:val="center"/>
          </w:tcPr>
          <w:p>
            <w:pPr>
              <w:rPr>
                <w:rFonts w:ascii="宋体" w:hAnsi="宋体" w:cs="宋体"/>
                <w:sz w:val="20"/>
              </w:rPr>
            </w:pPr>
            <w:r>
              <w:rPr>
                <w:rFonts w:ascii="宋体" w:hAnsi="宋体" w:cs="宋体"/>
                <w:sz w:val="20"/>
              </w:rPr>
              <w:t>采取传承历史文化的其他创新。</w:t>
            </w:r>
          </w:p>
        </w:tc>
        <w:tc>
          <w:tcPr>
            <w:tcW w:w="391" w:type="pct"/>
            <w:vAlign w:val="center"/>
          </w:tcPr>
          <w:p>
            <w:pPr>
              <w:widowControl/>
              <w:jc w:val="center"/>
              <w:rPr>
                <w:rFonts w:ascii="宋体" w:hAnsi="宋体" w:cs="宋体"/>
                <w:b/>
                <w:bCs/>
                <w:sz w:val="20"/>
              </w:rPr>
            </w:pPr>
            <w:r>
              <w:rPr>
                <w:rFonts w:ascii="宋体" w:hAnsi="宋体" w:cs="宋体"/>
                <w:b/>
                <w:bCs/>
                <w:sz w:val="20"/>
              </w:rPr>
              <w:t>10</w:t>
            </w:r>
          </w:p>
        </w:tc>
        <w:tc>
          <w:tcPr>
            <w:tcW w:w="375" w:type="pct"/>
            <w:vMerge w:val="continue"/>
            <w:vAlign w:val="center"/>
          </w:tcPr>
          <w:p>
            <w:pPr>
              <w:widowControl/>
              <w:rPr>
                <w:rFonts w:ascii="宋体" w:hAnsi="宋体" w:cs="宋体"/>
                <w:b/>
                <w:bCs/>
                <w:sz w:val="20"/>
              </w:rPr>
            </w:pPr>
          </w:p>
        </w:tc>
        <w:tc>
          <w:tcPr>
            <w:tcW w:w="455" w:type="pct"/>
            <w:vAlign w:val="center"/>
          </w:tcPr>
          <w:p>
            <w:pPr>
              <w:widowControl/>
              <w:rPr>
                <w:rFonts w:ascii="宋体" w:hAnsi="宋体" w:cs="宋体"/>
                <w:b/>
                <w:bCs/>
                <w:sz w:val="20"/>
              </w:rPr>
            </w:pPr>
          </w:p>
        </w:tc>
        <w:tc>
          <w:tcPr>
            <w:tcW w:w="386" w:type="pct"/>
          </w:tcPr>
          <w:p>
            <w:pPr>
              <w:widowControl/>
              <w:rPr>
                <w:rFonts w:ascii="宋体" w:hAnsi="宋体" w:cs="宋体"/>
                <w:b/>
                <w:bCs/>
                <w:sz w:val="20"/>
              </w:rPr>
            </w:pPr>
          </w:p>
        </w:tc>
      </w:tr>
    </w:tbl>
    <w:p>
      <w:pPr>
        <w:rPr>
          <w:rFonts w:ascii="宋体" w:hAnsi="宋体" w:cs="宋体"/>
        </w:rPr>
      </w:pPr>
    </w:p>
    <w:p>
      <w:pPr>
        <w:spacing w:line="320" w:lineRule="exact"/>
        <w:rPr>
          <w:rFonts w:ascii="宋体" w:hAnsi="宋体"/>
        </w:rPr>
      </w:pPr>
    </w:p>
    <w:p>
      <w:pPr>
        <w:spacing w:line="320" w:lineRule="exact"/>
        <w:rPr>
          <w:rFonts w:ascii="宋体" w:hAnsi="宋体"/>
        </w:rPr>
      </w:pPr>
    </w:p>
    <w:p>
      <w:pPr>
        <w:spacing w:line="320" w:lineRule="exact"/>
        <w:rPr>
          <w:rFonts w:ascii="宋体" w:hAnsi="宋体"/>
        </w:rPr>
      </w:pPr>
    </w:p>
    <w:p>
      <w:pPr>
        <w:rPr>
          <w:rFonts w:ascii="宋体" w:hAns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PMingLiU">
    <w:altName w:val="文泉驿微米黑"/>
    <w:panose1 w:val="02010601000101010101"/>
    <w:charset w:val="88"/>
    <w:family w:val="roman"/>
    <w:pitch w:val="default"/>
    <w:sig w:usb0="00000000" w:usb1="00000000" w:usb2="00000016" w:usb3="00000000" w:csb0="00100001" w:csb1="00000000"/>
  </w:font>
  <w:font w:name="Century">
    <w:altName w:val="DejaVu Serif"/>
    <w:panose1 w:val="02040604050505020304"/>
    <w:charset w:val="00"/>
    <w:family w:val="roman"/>
    <w:pitch w:val="default"/>
    <w:sig w:usb0="00000000" w:usb1="00000000" w:usb2="00000000" w:usb3="00000000" w:csb0="0000009F" w:csb1="00000000"/>
  </w:font>
  <w:font w:name="MS Mincho">
    <w:altName w:val="宋体"/>
    <w:panose1 w:val="02020609040205080304"/>
    <w:charset w:val="80"/>
    <w:family w:val="modern"/>
    <w:pitch w:val="default"/>
    <w:sig w:usb0="00000000" w:usb1="00000000" w:usb2="08000012" w:usb3="00000000" w:csb0="0002009F" w:csb1="00000000"/>
  </w:font>
  <w:font w:name="Tahoma">
    <w:altName w:val="DejaVu Sans"/>
    <w:panose1 w:val="020B0604030504040204"/>
    <w:charset w:val="00"/>
    <w:family w:val="swiss"/>
    <w:pitch w:val="default"/>
    <w:sig w:usb0="00000000" w:usb1="00000000" w:usb2="00000029" w:usb3="00000000" w:csb0="000101FF" w:csb1="00000000"/>
  </w:font>
  <w:font w:name="Verdana">
    <w:altName w:val="DejaVu Sans"/>
    <w:panose1 w:val="020B0604030504040204"/>
    <w:charset w:val="00"/>
    <w:family w:val="swiss"/>
    <w:pitch w:val="default"/>
    <w:sig w:usb0="00000000" w:usb1="00000000" w:usb2="00000010"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6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160"/>
      <w:suff w:val="nothing"/>
      <w:lvlText w:val="%1%2.%3.%4.%5.%6　"/>
      <w:lvlJc w:val="left"/>
      <w:pPr>
        <w:ind w:left="0" w:firstLine="0"/>
      </w:pPr>
      <w:rPr>
        <w:rFonts w:hint="eastAsia" w:ascii="黑体" w:hAnsi="Times New Roman" w:eastAsia="黑体"/>
        <w:b w:val="0"/>
        <w:i w:val="0"/>
        <w:sz w:val="21"/>
      </w:rPr>
    </w:lvl>
    <w:lvl w:ilvl="6" w:tentative="0">
      <w:start w:val="1"/>
      <w:numFmt w:val="decimal"/>
      <w:pStyle w:val="15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159"/>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2BD0D87"/>
    <w:multiLevelType w:val="multilevel"/>
    <w:tmpl w:val="12BD0D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7E65F9"/>
    <w:multiLevelType w:val="multilevel"/>
    <w:tmpl w:val="407E65F9"/>
    <w:lvl w:ilvl="0" w:tentative="0">
      <w:start w:val="1"/>
      <w:numFmt w:val="none"/>
      <w:pStyle w:val="157"/>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496E4D7B"/>
    <w:multiLevelType w:val="multilevel"/>
    <w:tmpl w:val="496E4D7B"/>
    <w:lvl w:ilvl="0" w:tentative="0">
      <w:start w:val="1"/>
      <w:numFmt w:val="none"/>
      <w:pStyle w:val="166"/>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B0A158F"/>
    <w:multiLevelType w:val="multilevel"/>
    <w:tmpl w:val="4B0A158F"/>
    <w:lvl w:ilvl="0" w:tentative="0">
      <w:start w:val="1"/>
      <w:numFmt w:val="decimal"/>
      <w:pStyle w:val="104"/>
      <w:lvlText w:val="%1."/>
      <w:lvlJc w:val="left"/>
      <w:pPr>
        <w:ind w:left="420" w:hanging="420"/>
      </w:pPr>
      <w:rPr>
        <w:rFonts w:hint="eastAsia" w:eastAsia="宋体" w:asciiTheme="minorEastAsia" w:hAnsiTheme="minorEastAsia"/>
        <w:b/>
        <w:bCs/>
        <w:color w:val="auto"/>
      </w:rPr>
    </w:lvl>
    <w:lvl w:ilvl="1" w:tentative="0">
      <w:start w:val="2"/>
      <w:numFmt w:val="japaneseCounting"/>
      <w:lvlText w:val="%2、"/>
      <w:lvlJc w:val="left"/>
      <w:pPr>
        <w:ind w:left="870" w:hanging="450"/>
      </w:pPr>
      <w:rPr>
        <w:rFonts w:hint="default"/>
        <w:color w:val="FF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57C2AF5"/>
    <w:multiLevelType w:val="multilevel"/>
    <w:tmpl w:val="557C2AF5"/>
    <w:lvl w:ilvl="0" w:tentative="0">
      <w:start w:val="1"/>
      <w:numFmt w:val="decimal"/>
      <w:pStyle w:val="16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5927069D"/>
    <w:multiLevelType w:val="multilevel"/>
    <w:tmpl w:val="5927069D"/>
    <w:lvl w:ilvl="0" w:tentative="0">
      <w:start w:val="1"/>
      <w:numFmt w:val="decimal"/>
      <w:pStyle w:val="172"/>
      <w:lvlText w:val="（%1）"/>
      <w:lvlJc w:val="left"/>
      <w:pPr>
        <w:tabs>
          <w:tab w:val="left" w:pos="0"/>
        </w:tabs>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46260FA"/>
    <w:multiLevelType w:val="multilevel"/>
    <w:tmpl w:val="646260FA"/>
    <w:lvl w:ilvl="0" w:tentative="0">
      <w:start w:val="1"/>
      <w:numFmt w:val="decimal"/>
      <w:pStyle w:val="16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49"/>
      <w:suff w:val="nothing"/>
      <w:lvlText w:val="%1.%2.%3.%4　"/>
      <w:lvlJc w:val="left"/>
      <w:pPr>
        <w:ind w:left="0" w:firstLine="0"/>
      </w:pPr>
      <w:rPr>
        <w:rFonts w:hint="eastAsia" w:ascii="黑体" w:hAnsi="Times New Roman" w:eastAsia="黑体"/>
        <w:b w:val="0"/>
        <w:i w:val="0"/>
        <w:sz w:val="21"/>
      </w:rPr>
    </w:lvl>
    <w:lvl w:ilvl="4" w:tentative="0">
      <w:start w:val="1"/>
      <w:numFmt w:val="decimal"/>
      <w:pStyle w:val="150"/>
      <w:suff w:val="nothing"/>
      <w:lvlText w:val="%1.%2.%3.%4.%5　"/>
      <w:lvlJc w:val="left"/>
      <w:pPr>
        <w:ind w:left="0" w:firstLine="0"/>
      </w:pPr>
      <w:rPr>
        <w:rFonts w:hint="eastAsia" w:ascii="黑体" w:hAnsi="Times New Roman" w:eastAsia="黑体"/>
        <w:b w:val="0"/>
        <w:i w:val="0"/>
        <w:sz w:val="21"/>
      </w:rPr>
    </w:lvl>
    <w:lvl w:ilvl="5" w:tentative="0">
      <w:start w:val="1"/>
      <w:numFmt w:val="decimal"/>
      <w:pStyle w:val="15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DBF04F4"/>
    <w:multiLevelType w:val="multilevel"/>
    <w:tmpl w:val="6DBF04F4"/>
    <w:lvl w:ilvl="0" w:tentative="0">
      <w:start w:val="1"/>
      <w:numFmt w:val="none"/>
      <w:pStyle w:val="165"/>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F1431A9"/>
    <w:multiLevelType w:val="multilevel"/>
    <w:tmpl w:val="6F1431A9"/>
    <w:lvl w:ilvl="0" w:tentative="0">
      <w:start w:val="1"/>
      <w:numFmt w:val="decimal"/>
      <w:pStyle w:val="101"/>
      <w:lvlText w:val="%1."/>
      <w:lvlJc w:val="left"/>
      <w:pPr>
        <w:ind w:left="425" w:hanging="425"/>
      </w:pPr>
      <w:rPr>
        <w:rFonts w:hint="eastAsia"/>
        <w:sz w:val="21"/>
        <w:szCs w:val="21"/>
      </w:rPr>
    </w:lvl>
    <w:lvl w:ilvl="1" w:tentative="0">
      <w:start w:val="1"/>
      <w:numFmt w:val="decimal"/>
      <w:pStyle w:val="102"/>
      <w:lvlText w:val="%1.%2"/>
      <w:lvlJc w:val="left"/>
      <w:pPr>
        <w:ind w:left="992" w:hanging="567"/>
      </w:pPr>
      <w:rPr>
        <w:rFonts w:hint="eastAsia" w:cs="Times New Roman"/>
        <w:b w:val="0"/>
        <w:bCs/>
        <w:i w:val="0"/>
        <w:iCs w:val="0"/>
        <w:caps w:val="0"/>
        <w:smallCaps w:val="0"/>
        <w:strike w:val="0"/>
        <w:dstrike w:val="0"/>
        <w:vanish w:val="0"/>
        <w:color w:val="auto"/>
        <w:spacing w:val="0"/>
        <w:position w:val="0"/>
        <w:u w:val="none"/>
        <w:vertAlign w:val="baseline"/>
      </w:rPr>
    </w:lvl>
    <w:lvl w:ilvl="2" w:tentative="0">
      <w:start w:val="1"/>
      <w:numFmt w:val="decimal"/>
      <w:pStyle w:val="103"/>
      <w:lvlText w:val="%1.%2.%3"/>
      <w:lvlJc w:val="left"/>
      <w:pPr>
        <w:ind w:left="992"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76933334"/>
    <w:multiLevelType w:val="multilevel"/>
    <w:tmpl w:val="76933334"/>
    <w:lvl w:ilvl="0" w:tentative="0">
      <w:start w:val="1"/>
      <w:numFmt w:val="none"/>
      <w:pStyle w:val="156"/>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6E5114C"/>
    <w:multiLevelType w:val="multilevel"/>
    <w:tmpl w:val="76E5114C"/>
    <w:lvl w:ilvl="0" w:tentative="0">
      <w:start w:val="1"/>
      <w:numFmt w:val="decimal"/>
      <w:pStyle w:val="143"/>
      <w:lvlText w:val="%1"/>
      <w:lvlJc w:val="left"/>
      <w:pPr>
        <w:ind w:left="1063" w:hanging="420"/>
      </w:pPr>
      <w:rPr>
        <w:rFonts w:ascii="黑体" w:hAnsi="Times New Roman" w:eastAsia="黑体" w:cs="Times New Roman"/>
        <w:b/>
      </w:rPr>
    </w:lvl>
    <w:lvl w:ilvl="1" w:tentative="0">
      <w:start w:val="1"/>
      <w:numFmt w:val="lowerLetter"/>
      <w:pStyle w:val="142"/>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1"/>
  </w:num>
  <w:num w:numId="2">
    <w:abstractNumId w:val="5"/>
  </w:num>
  <w:num w:numId="3">
    <w:abstractNumId w:val="13"/>
  </w:num>
  <w:num w:numId="4">
    <w:abstractNumId w:val="9"/>
  </w:num>
  <w:num w:numId="5">
    <w:abstractNumId w:val="12"/>
  </w:num>
  <w:num w:numId="6">
    <w:abstractNumId w:val="3"/>
  </w:num>
  <w:num w:numId="7">
    <w:abstractNumId w:val="0"/>
  </w:num>
  <w:num w:numId="8">
    <w:abstractNumId w:val="1"/>
  </w:num>
  <w:num w:numId="9">
    <w:abstractNumId w:val="8"/>
  </w:num>
  <w:num w:numId="10">
    <w:abstractNumId w:val="6"/>
  </w:num>
  <w:num w:numId="11">
    <w:abstractNumId w:val="10"/>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FF"/>
    <w:rsid w:val="0005563C"/>
    <w:rsid w:val="0016133B"/>
    <w:rsid w:val="001C6A68"/>
    <w:rsid w:val="002203A3"/>
    <w:rsid w:val="0025606A"/>
    <w:rsid w:val="002F379A"/>
    <w:rsid w:val="00364179"/>
    <w:rsid w:val="00411AC8"/>
    <w:rsid w:val="004C5F19"/>
    <w:rsid w:val="004E16D1"/>
    <w:rsid w:val="00504154"/>
    <w:rsid w:val="006931FF"/>
    <w:rsid w:val="0079240F"/>
    <w:rsid w:val="007C7010"/>
    <w:rsid w:val="007D3D9D"/>
    <w:rsid w:val="008E635A"/>
    <w:rsid w:val="00A633CA"/>
    <w:rsid w:val="00AE1F55"/>
    <w:rsid w:val="00CB1BDA"/>
    <w:rsid w:val="00D81AF7"/>
    <w:rsid w:val="00D93984"/>
    <w:rsid w:val="00DC4FCC"/>
    <w:rsid w:val="00E742A4"/>
    <w:rsid w:val="00EA1222"/>
    <w:rsid w:val="00F44AEF"/>
    <w:rsid w:val="00FA08FF"/>
    <w:rsid w:val="5F4DF0E2"/>
    <w:rsid w:val="FEEB4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qFormat="1"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9"/>
    <w:pPr>
      <w:keepNext/>
      <w:keepLines/>
      <w:spacing w:before="240" w:after="240" w:line="360" w:lineRule="auto"/>
      <w:jc w:val="center"/>
      <w:outlineLvl w:val="0"/>
    </w:pPr>
    <w:rPr>
      <w:b/>
      <w:bCs/>
      <w:kern w:val="44"/>
      <w:sz w:val="32"/>
      <w:szCs w:val="44"/>
    </w:rPr>
  </w:style>
  <w:style w:type="paragraph" w:styleId="3">
    <w:name w:val="heading 2"/>
    <w:basedOn w:val="1"/>
    <w:next w:val="1"/>
    <w:link w:val="56"/>
    <w:qFormat/>
    <w:uiPriority w:val="0"/>
    <w:pPr>
      <w:keepNext/>
      <w:keepLines/>
      <w:spacing w:before="120" w:after="120" w:line="360" w:lineRule="auto"/>
      <w:outlineLvl w:val="1"/>
    </w:pPr>
    <w:rPr>
      <w:rFonts w:ascii="Arial" w:hAnsi="Arial"/>
      <w:b/>
      <w:bCs/>
      <w:sz w:val="24"/>
      <w:szCs w:val="32"/>
    </w:rPr>
  </w:style>
  <w:style w:type="paragraph" w:styleId="4">
    <w:name w:val="heading 3"/>
    <w:basedOn w:val="1"/>
    <w:next w:val="1"/>
    <w:link w:val="57"/>
    <w:qFormat/>
    <w:uiPriority w:val="0"/>
    <w:pPr>
      <w:keepNext/>
      <w:keepLines/>
      <w:spacing w:before="260" w:after="260" w:line="415" w:lineRule="auto"/>
      <w:outlineLvl w:val="2"/>
    </w:pPr>
    <w:rPr>
      <w:b/>
      <w:bCs/>
      <w:sz w:val="32"/>
      <w:szCs w:val="32"/>
    </w:rPr>
  </w:style>
  <w:style w:type="paragraph" w:styleId="5">
    <w:name w:val="heading 4"/>
    <w:basedOn w:val="1"/>
    <w:next w:val="1"/>
    <w:link w:val="58"/>
    <w:qFormat/>
    <w:uiPriority w:val="9"/>
    <w:pPr>
      <w:keepNext/>
      <w:tabs>
        <w:tab w:val="left" w:pos="6768"/>
      </w:tabs>
      <w:spacing w:line="360" w:lineRule="auto"/>
      <w:jc w:val="center"/>
      <w:outlineLvl w:val="3"/>
    </w:pPr>
    <w:rPr>
      <w:b/>
      <w:bCs/>
    </w:rPr>
  </w:style>
  <w:style w:type="paragraph" w:styleId="6">
    <w:name w:val="heading 5"/>
    <w:basedOn w:val="1"/>
    <w:next w:val="1"/>
    <w:link w:val="59"/>
    <w:qFormat/>
    <w:uiPriority w:val="0"/>
    <w:pPr>
      <w:keepNext/>
      <w:adjustRightInd w:val="0"/>
      <w:snapToGrid w:val="0"/>
      <w:spacing w:line="320" w:lineRule="exact"/>
      <w:jc w:val="right"/>
      <w:outlineLvl w:val="4"/>
    </w:pPr>
    <w:rPr>
      <w:b/>
      <w:bCs/>
      <w:sz w:val="44"/>
    </w:rPr>
  </w:style>
  <w:style w:type="paragraph" w:styleId="7">
    <w:name w:val="heading 6"/>
    <w:basedOn w:val="1"/>
    <w:next w:val="1"/>
    <w:link w:val="60"/>
    <w:qFormat/>
    <w:uiPriority w:val="0"/>
    <w:pPr>
      <w:keepNext/>
      <w:adjustRightInd w:val="0"/>
      <w:snapToGrid w:val="0"/>
      <w:spacing w:line="320" w:lineRule="exact"/>
      <w:jc w:val="center"/>
      <w:outlineLvl w:val="5"/>
    </w:pPr>
    <w:rPr>
      <w:bCs/>
      <w:i/>
      <w:iCs/>
      <w:sz w:val="16"/>
    </w:rPr>
  </w:style>
  <w:style w:type="paragraph" w:styleId="8">
    <w:name w:val="heading 7"/>
    <w:basedOn w:val="1"/>
    <w:next w:val="1"/>
    <w:link w:val="61"/>
    <w:qFormat/>
    <w:uiPriority w:val="0"/>
    <w:pPr>
      <w:keepNext/>
      <w:adjustRightInd w:val="0"/>
      <w:snapToGrid w:val="0"/>
      <w:spacing w:line="320" w:lineRule="exact"/>
      <w:ind w:left="-105" w:leftChars="-50" w:right="-105" w:rightChars="-50"/>
      <w:jc w:val="center"/>
      <w:outlineLvl w:val="6"/>
    </w:pPr>
    <w:rPr>
      <w:bCs/>
      <w:i/>
      <w:iCs/>
      <w:sz w:val="16"/>
    </w:rPr>
  </w:style>
  <w:style w:type="paragraph" w:styleId="9">
    <w:name w:val="heading 8"/>
    <w:basedOn w:val="1"/>
    <w:next w:val="1"/>
    <w:link w:val="62"/>
    <w:qFormat/>
    <w:uiPriority w:val="0"/>
    <w:pPr>
      <w:keepNext/>
      <w:adjustRightInd w:val="0"/>
      <w:snapToGrid w:val="0"/>
      <w:spacing w:line="320" w:lineRule="exact"/>
      <w:jc w:val="center"/>
      <w:outlineLvl w:val="7"/>
    </w:pPr>
    <w:rPr>
      <w:rFonts w:eastAsia="黑体"/>
      <w:b/>
      <w:bCs/>
      <w:sz w:val="18"/>
    </w:rPr>
  </w:style>
  <w:style w:type="paragraph" w:styleId="10">
    <w:name w:val="heading 9"/>
    <w:basedOn w:val="1"/>
    <w:next w:val="1"/>
    <w:link w:val="63"/>
    <w:qFormat/>
    <w:uiPriority w:val="0"/>
    <w:pPr>
      <w:keepNext/>
      <w:keepLines/>
      <w:spacing w:before="240" w:after="64" w:line="319" w:lineRule="auto"/>
      <w:ind w:left="1584"/>
      <w:outlineLvl w:val="8"/>
    </w:pPr>
    <w:rPr>
      <w:rFonts w:ascii="Cambria" w:hAnsi="Cambria"/>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rPr>
      <w:rFonts w:ascii="Calibri" w:hAnsi="Calibri"/>
      <w:szCs w:val="22"/>
    </w:rPr>
  </w:style>
  <w:style w:type="paragraph" w:styleId="12">
    <w:name w:val="table of authorities"/>
    <w:basedOn w:val="1"/>
    <w:next w:val="1"/>
    <w:qFormat/>
    <w:uiPriority w:val="0"/>
    <w:pPr>
      <w:spacing w:line="320" w:lineRule="exact"/>
      <w:ind w:left="420" w:leftChars="200"/>
    </w:pPr>
  </w:style>
  <w:style w:type="paragraph" w:styleId="13">
    <w:name w:val="Normal Indent"/>
    <w:basedOn w:val="1"/>
    <w:qFormat/>
    <w:uiPriority w:val="99"/>
    <w:pPr>
      <w:widowControl/>
      <w:ind w:firstLine="420" w:firstLineChars="200"/>
      <w:jc w:val="left"/>
    </w:pPr>
    <w:rPr>
      <w:rFonts w:eastAsia="PMingLiU"/>
      <w:kern w:val="0"/>
      <w:sz w:val="20"/>
      <w:szCs w:val="20"/>
      <w:lang w:eastAsia="en-US"/>
    </w:rPr>
  </w:style>
  <w:style w:type="paragraph" w:styleId="14">
    <w:name w:val="caption"/>
    <w:basedOn w:val="1"/>
    <w:next w:val="1"/>
    <w:unhideWhenUsed/>
    <w:qFormat/>
    <w:uiPriority w:val="0"/>
    <w:pPr>
      <w:autoSpaceDE w:val="0"/>
      <w:autoSpaceDN w:val="0"/>
      <w:adjustRightInd w:val="0"/>
      <w:jc w:val="left"/>
    </w:pPr>
    <w:rPr>
      <w:rFonts w:hint="eastAsia" w:ascii="Arial" w:hAnsi="Arial" w:eastAsia="黑体"/>
      <w:kern w:val="0"/>
      <w:sz w:val="20"/>
      <w:szCs w:val="20"/>
    </w:rPr>
  </w:style>
  <w:style w:type="paragraph" w:styleId="15">
    <w:name w:val="Document Map"/>
    <w:basedOn w:val="1"/>
    <w:link w:val="64"/>
    <w:qFormat/>
    <w:uiPriority w:val="0"/>
    <w:pPr>
      <w:shd w:val="clear" w:color="auto" w:fill="000080"/>
    </w:pPr>
  </w:style>
  <w:style w:type="paragraph" w:styleId="16">
    <w:name w:val="toa heading"/>
    <w:basedOn w:val="1"/>
    <w:next w:val="12"/>
    <w:semiHidden/>
    <w:qFormat/>
    <w:uiPriority w:val="0"/>
    <w:pPr>
      <w:keepNext/>
      <w:spacing w:before="240" w:after="120" w:line="360" w:lineRule="exact"/>
    </w:pPr>
    <w:rPr>
      <w:rFonts w:ascii="Arial" w:hAnsi="Arial"/>
      <w:b/>
      <w:kern w:val="28"/>
      <w:sz w:val="28"/>
    </w:rPr>
  </w:style>
  <w:style w:type="paragraph" w:styleId="17">
    <w:name w:val="annotation text"/>
    <w:basedOn w:val="1"/>
    <w:link w:val="65"/>
    <w:qFormat/>
    <w:uiPriority w:val="0"/>
    <w:pPr>
      <w:jc w:val="left"/>
    </w:pPr>
  </w:style>
  <w:style w:type="paragraph" w:styleId="18">
    <w:name w:val="Body Text"/>
    <w:basedOn w:val="1"/>
    <w:next w:val="1"/>
    <w:link w:val="66"/>
    <w:unhideWhenUsed/>
    <w:qFormat/>
    <w:uiPriority w:val="0"/>
    <w:pPr>
      <w:autoSpaceDE w:val="0"/>
      <w:autoSpaceDN w:val="0"/>
      <w:adjustRightInd w:val="0"/>
      <w:ind w:left="192"/>
      <w:jc w:val="left"/>
    </w:pPr>
    <w:rPr>
      <w:rFonts w:hint="eastAsia" w:ascii="宋体"/>
      <w:kern w:val="0"/>
      <w:sz w:val="28"/>
      <w:szCs w:val="20"/>
    </w:rPr>
  </w:style>
  <w:style w:type="paragraph" w:styleId="19">
    <w:name w:val="Body Text Indent"/>
    <w:basedOn w:val="1"/>
    <w:link w:val="67"/>
    <w:qFormat/>
    <w:uiPriority w:val="0"/>
    <w:pPr>
      <w:spacing w:line="320" w:lineRule="exact"/>
      <w:ind w:left="542" w:leftChars="258" w:firstLine="560" w:firstLineChars="200"/>
      <w:jc w:val="left"/>
    </w:pPr>
    <w:rPr>
      <w:sz w:val="28"/>
    </w:rPr>
  </w:style>
  <w:style w:type="paragraph" w:styleId="20">
    <w:name w:val="Block Text"/>
    <w:basedOn w:val="1"/>
    <w:qFormat/>
    <w:uiPriority w:val="0"/>
    <w:pPr>
      <w:adjustRightInd w:val="0"/>
      <w:snapToGrid w:val="0"/>
      <w:spacing w:line="320" w:lineRule="exact"/>
      <w:ind w:left="-105" w:leftChars="-50" w:right="-105" w:rightChars="-50"/>
      <w:jc w:val="center"/>
    </w:pPr>
    <w:rPr>
      <w:bCs/>
      <w:sz w:val="16"/>
    </w:rPr>
  </w:style>
  <w:style w:type="paragraph" w:styleId="21">
    <w:name w:val="toc 5"/>
    <w:basedOn w:val="1"/>
    <w:next w:val="1"/>
    <w:qFormat/>
    <w:uiPriority w:val="39"/>
    <w:pPr>
      <w:ind w:left="1680" w:leftChars="800"/>
    </w:pPr>
    <w:rPr>
      <w:rFonts w:ascii="Calibri" w:hAnsi="Calibri"/>
      <w:szCs w:val="22"/>
    </w:rPr>
  </w:style>
  <w:style w:type="paragraph" w:styleId="22">
    <w:name w:val="toc 3"/>
    <w:basedOn w:val="1"/>
    <w:next w:val="1"/>
    <w:qFormat/>
    <w:uiPriority w:val="39"/>
    <w:pPr>
      <w:ind w:left="840" w:leftChars="400"/>
    </w:pPr>
  </w:style>
  <w:style w:type="paragraph" w:styleId="23">
    <w:name w:val="Plain Text"/>
    <w:basedOn w:val="1"/>
    <w:link w:val="68"/>
    <w:qFormat/>
    <w:uiPriority w:val="0"/>
    <w:pPr>
      <w:autoSpaceDE w:val="0"/>
      <w:autoSpaceDN w:val="0"/>
      <w:adjustRightInd w:val="0"/>
      <w:jc w:val="left"/>
    </w:pPr>
    <w:rPr>
      <w:rFonts w:hint="eastAsia" w:ascii="宋体" w:hAnsi="Courier New" w:cs="Courier New"/>
      <w:kern w:val="0"/>
      <w:sz w:val="24"/>
      <w:szCs w:val="21"/>
    </w:rPr>
  </w:style>
  <w:style w:type="paragraph" w:styleId="24">
    <w:name w:val="toc 8"/>
    <w:basedOn w:val="1"/>
    <w:next w:val="1"/>
    <w:qFormat/>
    <w:uiPriority w:val="39"/>
    <w:pPr>
      <w:ind w:left="2940" w:leftChars="1400"/>
    </w:pPr>
    <w:rPr>
      <w:rFonts w:ascii="Calibri" w:hAnsi="Calibri"/>
      <w:szCs w:val="22"/>
    </w:rPr>
  </w:style>
  <w:style w:type="paragraph" w:styleId="25">
    <w:name w:val="Date"/>
    <w:basedOn w:val="1"/>
    <w:next w:val="1"/>
    <w:link w:val="69"/>
    <w:qFormat/>
    <w:uiPriority w:val="0"/>
    <w:pPr>
      <w:ind w:left="100" w:leftChars="2500"/>
    </w:pPr>
  </w:style>
  <w:style w:type="paragraph" w:styleId="26">
    <w:name w:val="Body Text Indent 2"/>
    <w:basedOn w:val="1"/>
    <w:link w:val="70"/>
    <w:qFormat/>
    <w:uiPriority w:val="0"/>
    <w:pPr>
      <w:spacing w:line="320" w:lineRule="exact"/>
      <w:ind w:left="840" w:hanging="840" w:hangingChars="300"/>
    </w:pPr>
    <w:rPr>
      <w:sz w:val="28"/>
    </w:rPr>
  </w:style>
  <w:style w:type="paragraph" w:styleId="27">
    <w:name w:val="endnote text"/>
    <w:basedOn w:val="1"/>
    <w:link w:val="71"/>
    <w:qFormat/>
    <w:uiPriority w:val="0"/>
    <w:pPr>
      <w:snapToGrid w:val="0"/>
      <w:jc w:val="left"/>
    </w:pPr>
  </w:style>
  <w:style w:type="paragraph" w:styleId="28">
    <w:name w:val="Balloon Text"/>
    <w:basedOn w:val="1"/>
    <w:link w:val="72"/>
    <w:qFormat/>
    <w:uiPriority w:val="0"/>
    <w:rPr>
      <w:sz w:val="18"/>
      <w:szCs w:val="18"/>
    </w:rPr>
  </w:style>
  <w:style w:type="paragraph" w:styleId="29">
    <w:name w:val="footer"/>
    <w:basedOn w:val="1"/>
    <w:link w:val="73"/>
    <w:qFormat/>
    <w:uiPriority w:val="99"/>
    <w:pPr>
      <w:tabs>
        <w:tab w:val="center" w:pos="4153"/>
        <w:tab w:val="right" w:pos="8306"/>
      </w:tabs>
      <w:snapToGrid w:val="0"/>
      <w:jc w:val="left"/>
    </w:pPr>
    <w:rPr>
      <w:sz w:val="18"/>
      <w:szCs w:val="18"/>
    </w:rPr>
  </w:style>
  <w:style w:type="paragraph" w:styleId="30">
    <w:name w:val="header"/>
    <w:basedOn w:val="1"/>
    <w:link w:val="74"/>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right" w:leader="dot" w:pos="9060"/>
      </w:tabs>
      <w:spacing w:line="276" w:lineRule="auto"/>
    </w:pPr>
    <w:rPr>
      <w:rFonts w:ascii="宋体" w:hAnsi="宋体"/>
      <w:b/>
      <w:sz w:val="24"/>
    </w:rPr>
  </w:style>
  <w:style w:type="paragraph" w:styleId="32">
    <w:name w:val="toc 4"/>
    <w:basedOn w:val="1"/>
    <w:next w:val="1"/>
    <w:qFormat/>
    <w:uiPriority w:val="39"/>
    <w:pPr>
      <w:ind w:left="1260" w:leftChars="600"/>
    </w:pPr>
    <w:rPr>
      <w:rFonts w:ascii="Calibri" w:hAnsi="Calibri"/>
      <w:szCs w:val="22"/>
    </w:rPr>
  </w:style>
  <w:style w:type="paragraph" w:styleId="33">
    <w:name w:val="Subtitle"/>
    <w:basedOn w:val="1"/>
    <w:next w:val="1"/>
    <w:link w:val="75"/>
    <w:qFormat/>
    <w:uiPriority w:val="0"/>
    <w:pPr>
      <w:spacing w:before="240" w:after="60" w:line="312" w:lineRule="auto"/>
      <w:jc w:val="center"/>
      <w:outlineLvl w:val="1"/>
    </w:pPr>
    <w:rPr>
      <w:rFonts w:ascii="Cambria" w:hAnsi="Cambria"/>
      <w:b/>
      <w:bCs/>
      <w:kern w:val="28"/>
      <w:sz w:val="32"/>
      <w:szCs w:val="32"/>
    </w:rPr>
  </w:style>
  <w:style w:type="paragraph" w:styleId="34">
    <w:name w:val="footnote text"/>
    <w:basedOn w:val="1"/>
    <w:link w:val="76"/>
    <w:qFormat/>
    <w:uiPriority w:val="0"/>
    <w:pPr>
      <w:snapToGrid w:val="0"/>
      <w:jc w:val="left"/>
    </w:pPr>
    <w:rPr>
      <w:sz w:val="18"/>
      <w:szCs w:val="18"/>
    </w:rPr>
  </w:style>
  <w:style w:type="paragraph" w:styleId="35">
    <w:name w:val="toc 6"/>
    <w:basedOn w:val="1"/>
    <w:next w:val="1"/>
    <w:qFormat/>
    <w:uiPriority w:val="39"/>
    <w:pPr>
      <w:ind w:left="2100" w:leftChars="1000"/>
    </w:pPr>
    <w:rPr>
      <w:rFonts w:ascii="Calibri" w:hAnsi="Calibri"/>
      <w:szCs w:val="22"/>
    </w:rPr>
  </w:style>
  <w:style w:type="paragraph" w:styleId="36">
    <w:name w:val="Body Text Indent 3"/>
    <w:basedOn w:val="1"/>
    <w:link w:val="77"/>
    <w:qFormat/>
    <w:uiPriority w:val="0"/>
    <w:pPr>
      <w:spacing w:line="320" w:lineRule="exact"/>
      <w:ind w:firstLine="560" w:firstLineChars="200"/>
    </w:pPr>
    <w:rPr>
      <w:sz w:val="28"/>
    </w:rPr>
  </w:style>
  <w:style w:type="paragraph" w:styleId="37">
    <w:name w:val="toc 2"/>
    <w:basedOn w:val="1"/>
    <w:next w:val="1"/>
    <w:qFormat/>
    <w:uiPriority w:val="39"/>
    <w:pPr>
      <w:tabs>
        <w:tab w:val="right" w:leader="dot" w:pos="9060"/>
      </w:tabs>
      <w:spacing w:beforeLines="100" w:afterLines="100" w:line="276" w:lineRule="auto"/>
      <w:jc w:val="center"/>
    </w:pPr>
    <w:rPr>
      <w:rFonts w:ascii="宋体" w:hAnsi="宋体"/>
      <w:b/>
      <w:sz w:val="52"/>
      <w:szCs w:val="52"/>
      <w:lang w:val="zh-CN"/>
    </w:rPr>
  </w:style>
  <w:style w:type="paragraph" w:styleId="38">
    <w:name w:val="toc 9"/>
    <w:basedOn w:val="1"/>
    <w:next w:val="1"/>
    <w:qFormat/>
    <w:uiPriority w:val="39"/>
    <w:pPr>
      <w:ind w:left="3360" w:leftChars="1600"/>
    </w:pPr>
    <w:rPr>
      <w:rFonts w:ascii="Calibri" w:hAnsi="Calibri"/>
      <w:szCs w:val="22"/>
    </w:rPr>
  </w:style>
  <w:style w:type="paragraph" w:styleId="39">
    <w:name w:val="Body Text 2"/>
    <w:basedOn w:val="1"/>
    <w:link w:val="78"/>
    <w:qFormat/>
    <w:uiPriority w:val="0"/>
    <w:pPr>
      <w:autoSpaceDE w:val="0"/>
      <w:autoSpaceDN w:val="0"/>
      <w:adjustRightInd w:val="0"/>
      <w:spacing w:after="120" w:line="480" w:lineRule="auto"/>
      <w:jc w:val="left"/>
    </w:pPr>
    <w:rPr>
      <w:rFonts w:hint="eastAsia" w:ascii="Century" w:hAnsi="Century" w:eastAsia="MS Mincho"/>
      <w:kern w:val="0"/>
      <w:sz w:val="24"/>
    </w:rPr>
  </w:style>
  <w:style w:type="paragraph" w:styleId="40">
    <w:name w:val="HTML Preformatted"/>
    <w:basedOn w:val="1"/>
    <w:link w:val="7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pPr>
    <w:rPr>
      <w:rFonts w:ascii="宋体" w:hAnsi="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kern w:val="0"/>
      <w:sz w:val="24"/>
    </w:rPr>
  </w:style>
  <w:style w:type="paragraph" w:styleId="42">
    <w:name w:val="Title"/>
    <w:basedOn w:val="1"/>
    <w:next w:val="1"/>
    <w:link w:val="80"/>
    <w:qFormat/>
    <w:uiPriority w:val="0"/>
    <w:pPr>
      <w:spacing w:before="240" w:after="60"/>
      <w:jc w:val="center"/>
      <w:outlineLvl w:val="0"/>
    </w:pPr>
    <w:rPr>
      <w:rFonts w:ascii="Cambria" w:hAnsi="Cambria"/>
      <w:b/>
      <w:bCs/>
      <w:sz w:val="32"/>
      <w:szCs w:val="32"/>
    </w:rPr>
  </w:style>
  <w:style w:type="paragraph" w:styleId="43">
    <w:name w:val="annotation subject"/>
    <w:basedOn w:val="17"/>
    <w:next w:val="17"/>
    <w:link w:val="81"/>
    <w:qFormat/>
    <w:uiPriority w:val="0"/>
    <w:rPr>
      <w:b/>
      <w:bCs/>
    </w:rPr>
  </w:style>
  <w:style w:type="table" w:styleId="45">
    <w:name w:val="Table Grid"/>
    <w:basedOn w:val="44"/>
    <w:qFormat/>
    <w:uiPriority w:val="0"/>
    <w:pPr>
      <w:widowControl w:val="0"/>
      <w:jc w:val="both"/>
    </w:pPr>
    <w:rPr>
      <w:kern w:val="0"/>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basedOn w:val="46"/>
    <w:qFormat/>
    <w:uiPriority w:val="0"/>
    <w:rPr>
      <w:b/>
      <w:bCs/>
    </w:rPr>
  </w:style>
  <w:style w:type="character" w:styleId="48">
    <w:name w:val="endnote reference"/>
    <w:qFormat/>
    <w:uiPriority w:val="0"/>
    <w:rPr>
      <w:vertAlign w:val="superscript"/>
    </w:rPr>
  </w:style>
  <w:style w:type="character" w:styleId="49">
    <w:name w:val="page number"/>
    <w:basedOn w:val="46"/>
    <w:qFormat/>
    <w:uiPriority w:val="0"/>
  </w:style>
  <w:style w:type="character" w:styleId="50">
    <w:name w:val="FollowedHyperlink"/>
    <w:basedOn w:val="46"/>
    <w:unhideWhenUsed/>
    <w:qFormat/>
    <w:uiPriority w:val="99"/>
    <w:rPr>
      <w:rFonts w:hint="default" w:ascii="Times New Roman" w:hAnsi="Times New Roman" w:eastAsia="Times New Roman"/>
      <w:sz w:val="24"/>
      <w:u w:val="single"/>
    </w:rPr>
  </w:style>
  <w:style w:type="character" w:styleId="51">
    <w:name w:val="Emphasis"/>
    <w:qFormat/>
    <w:uiPriority w:val="0"/>
    <w:rPr>
      <w:color w:val="CC0000"/>
    </w:rPr>
  </w:style>
  <w:style w:type="character" w:styleId="52">
    <w:name w:val="Hyperlink"/>
    <w:qFormat/>
    <w:uiPriority w:val="99"/>
    <w:rPr>
      <w:color w:val="0000FF"/>
      <w:u w:val="singl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标题 1 字符"/>
    <w:basedOn w:val="46"/>
    <w:link w:val="2"/>
    <w:qFormat/>
    <w:uiPriority w:val="9"/>
    <w:rPr>
      <w:b/>
      <w:bCs/>
      <w:kern w:val="44"/>
      <w:sz w:val="32"/>
      <w:szCs w:val="44"/>
    </w:rPr>
  </w:style>
  <w:style w:type="character" w:customStyle="1" w:styleId="56">
    <w:name w:val="标题 2 字符"/>
    <w:basedOn w:val="46"/>
    <w:link w:val="3"/>
    <w:qFormat/>
    <w:uiPriority w:val="0"/>
    <w:rPr>
      <w:rFonts w:ascii="Arial" w:hAnsi="Arial"/>
      <w:b/>
      <w:bCs/>
      <w:sz w:val="24"/>
      <w:szCs w:val="32"/>
    </w:rPr>
  </w:style>
  <w:style w:type="character" w:customStyle="1" w:styleId="57">
    <w:name w:val="标题 3 字符"/>
    <w:basedOn w:val="46"/>
    <w:link w:val="4"/>
    <w:qFormat/>
    <w:uiPriority w:val="0"/>
    <w:rPr>
      <w:b/>
      <w:bCs/>
      <w:sz w:val="32"/>
      <w:szCs w:val="32"/>
    </w:rPr>
  </w:style>
  <w:style w:type="character" w:customStyle="1" w:styleId="58">
    <w:name w:val="标题 4 字符"/>
    <w:basedOn w:val="46"/>
    <w:link w:val="5"/>
    <w:qFormat/>
    <w:uiPriority w:val="9"/>
    <w:rPr>
      <w:b/>
      <w:bCs/>
      <w:szCs w:val="24"/>
    </w:rPr>
  </w:style>
  <w:style w:type="character" w:customStyle="1" w:styleId="59">
    <w:name w:val="标题 5 字符"/>
    <w:basedOn w:val="46"/>
    <w:link w:val="6"/>
    <w:qFormat/>
    <w:uiPriority w:val="0"/>
    <w:rPr>
      <w:b/>
      <w:bCs/>
      <w:sz w:val="44"/>
      <w:szCs w:val="24"/>
    </w:rPr>
  </w:style>
  <w:style w:type="character" w:customStyle="1" w:styleId="60">
    <w:name w:val="标题 6 字符"/>
    <w:basedOn w:val="46"/>
    <w:link w:val="7"/>
    <w:qFormat/>
    <w:uiPriority w:val="0"/>
    <w:rPr>
      <w:bCs/>
      <w:i/>
      <w:iCs/>
      <w:sz w:val="16"/>
      <w:szCs w:val="24"/>
    </w:rPr>
  </w:style>
  <w:style w:type="character" w:customStyle="1" w:styleId="61">
    <w:name w:val="标题 7 字符"/>
    <w:basedOn w:val="46"/>
    <w:link w:val="8"/>
    <w:qFormat/>
    <w:uiPriority w:val="0"/>
    <w:rPr>
      <w:bCs/>
      <w:i/>
      <w:iCs/>
      <w:sz w:val="16"/>
      <w:szCs w:val="24"/>
    </w:rPr>
  </w:style>
  <w:style w:type="character" w:customStyle="1" w:styleId="62">
    <w:name w:val="标题 8 字符"/>
    <w:basedOn w:val="46"/>
    <w:link w:val="9"/>
    <w:qFormat/>
    <w:uiPriority w:val="0"/>
    <w:rPr>
      <w:rFonts w:eastAsia="黑体"/>
      <w:b/>
      <w:bCs/>
      <w:sz w:val="18"/>
      <w:szCs w:val="24"/>
    </w:rPr>
  </w:style>
  <w:style w:type="character" w:customStyle="1" w:styleId="63">
    <w:name w:val="标题 9 字符"/>
    <w:basedOn w:val="46"/>
    <w:link w:val="10"/>
    <w:qFormat/>
    <w:uiPriority w:val="0"/>
    <w:rPr>
      <w:rFonts w:ascii="Cambria" w:hAnsi="Cambria"/>
      <w:szCs w:val="21"/>
    </w:rPr>
  </w:style>
  <w:style w:type="character" w:customStyle="1" w:styleId="64">
    <w:name w:val="文档结构图 字符"/>
    <w:basedOn w:val="46"/>
    <w:link w:val="15"/>
    <w:qFormat/>
    <w:uiPriority w:val="0"/>
    <w:rPr>
      <w:szCs w:val="24"/>
      <w:shd w:val="clear" w:color="auto" w:fill="000080"/>
    </w:rPr>
  </w:style>
  <w:style w:type="character" w:customStyle="1" w:styleId="65">
    <w:name w:val="批注文字 字符"/>
    <w:basedOn w:val="46"/>
    <w:link w:val="17"/>
    <w:qFormat/>
    <w:uiPriority w:val="0"/>
    <w:rPr>
      <w:szCs w:val="24"/>
    </w:rPr>
  </w:style>
  <w:style w:type="character" w:customStyle="1" w:styleId="66">
    <w:name w:val="正文文本 字符"/>
    <w:basedOn w:val="46"/>
    <w:link w:val="18"/>
    <w:qFormat/>
    <w:uiPriority w:val="0"/>
    <w:rPr>
      <w:rFonts w:ascii="宋体"/>
      <w:kern w:val="0"/>
      <w:sz w:val="28"/>
    </w:rPr>
  </w:style>
  <w:style w:type="character" w:customStyle="1" w:styleId="67">
    <w:name w:val="正文文本缩进 字符"/>
    <w:basedOn w:val="46"/>
    <w:link w:val="19"/>
    <w:qFormat/>
    <w:uiPriority w:val="0"/>
    <w:rPr>
      <w:sz w:val="28"/>
      <w:szCs w:val="24"/>
    </w:rPr>
  </w:style>
  <w:style w:type="character" w:customStyle="1" w:styleId="68">
    <w:name w:val="纯文本 字符"/>
    <w:basedOn w:val="46"/>
    <w:link w:val="23"/>
    <w:qFormat/>
    <w:uiPriority w:val="0"/>
    <w:rPr>
      <w:rFonts w:ascii="宋体" w:hAnsi="Courier New" w:cs="Courier New"/>
      <w:kern w:val="0"/>
      <w:sz w:val="24"/>
      <w:szCs w:val="21"/>
    </w:rPr>
  </w:style>
  <w:style w:type="character" w:customStyle="1" w:styleId="69">
    <w:name w:val="日期 字符"/>
    <w:basedOn w:val="46"/>
    <w:link w:val="25"/>
    <w:qFormat/>
    <w:uiPriority w:val="0"/>
    <w:rPr>
      <w:szCs w:val="24"/>
    </w:rPr>
  </w:style>
  <w:style w:type="character" w:customStyle="1" w:styleId="70">
    <w:name w:val="正文文本缩进 2 字符"/>
    <w:basedOn w:val="46"/>
    <w:link w:val="26"/>
    <w:qFormat/>
    <w:uiPriority w:val="0"/>
    <w:rPr>
      <w:sz w:val="28"/>
      <w:szCs w:val="24"/>
    </w:rPr>
  </w:style>
  <w:style w:type="character" w:customStyle="1" w:styleId="71">
    <w:name w:val="尾注文本 字符"/>
    <w:basedOn w:val="46"/>
    <w:link w:val="27"/>
    <w:qFormat/>
    <w:uiPriority w:val="0"/>
    <w:rPr>
      <w:szCs w:val="24"/>
    </w:rPr>
  </w:style>
  <w:style w:type="character" w:customStyle="1" w:styleId="72">
    <w:name w:val="批注框文本 字符"/>
    <w:basedOn w:val="46"/>
    <w:link w:val="28"/>
    <w:qFormat/>
    <w:uiPriority w:val="0"/>
    <w:rPr>
      <w:sz w:val="18"/>
      <w:szCs w:val="18"/>
    </w:rPr>
  </w:style>
  <w:style w:type="character" w:customStyle="1" w:styleId="73">
    <w:name w:val="页脚 字符"/>
    <w:basedOn w:val="46"/>
    <w:link w:val="29"/>
    <w:qFormat/>
    <w:uiPriority w:val="99"/>
    <w:rPr>
      <w:sz w:val="18"/>
      <w:szCs w:val="18"/>
    </w:rPr>
  </w:style>
  <w:style w:type="character" w:customStyle="1" w:styleId="74">
    <w:name w:val="页眉 字符"/>
    <w:basedOn w:val="46"/>
    <w:link w:val="30"/>
    <w:qFormat/>
    <w:uiPriority w:val="0"/>
    <w:rPr>
      <w:sz w:val="18"/>
      <w:szCs w:val="18"/>
    </w:rPr>
  </w:style>
  <w:style w:type="character" w:customStyle="1" w:styleId="75">
    <w:name w:val="副标题 字符"/>
    <w:basedOn w:val="46"/>
    <w:link w:val="33"/>
    <w:qFormat/>
    <w:uiPriority w:val="0"/>
    <w:rPr>
      <w:rFonts w:ascii="Cambria" w:hAnsi="Cambria"/>
      <w:b/>
      <w:bCs/>
      <w:kern w:val="28"/>
      <w:sz w:val="32"/>
      <w:szCs w:val="32"/>
    </w:rPr>
  </w:style>
  <w:style w:type="character" w:customStyle="1" w:styleId="76">
    <w:name w:val="脚注文本 字符"/>
    <w:basedOn w:val="46"/>
    <w:link w:val="34"/>
    <w:qFormat/>
    <w:uiPriority w:val="0"/>
    <w:rPr>
      <w:sz w:val="18"/>
      <w:szCs w:val="18"/>
    </w:rPr>
  </w:style>
  <w:style w:type="character" w:customStyle="1" w:styleId="77">
    <w:name w:val="正文文本缩进 3 字符"/>
    <w:basedOn w:val="46"/>
    <w:link w:val="36"/>
    <w:qFormat/>
    <w:uiPriority w:val="0"/>
    <w:rPr>
      <w:sz w:val="28"/>
      <w:szCs w:val="24"/>
    </w:rPr>
  </w:style>
  <w:style w:type="character" w:customStyle="1" w:styleId="78">
    <w:name w:val="正文文本 2 字符"/>
    <w:basedOn w:val="46"/>
    <w:link w:val="39"/>
    <w:qFormat/>
    <w:uiPriority w:val="0"/>
    <w:rPr>
      <w:rFonts w:ascii="Century" w:hAnsi="Century" w:eastAsia="MS Mincho"/>
      <w:kern w:val="0"/>
      <w:sz w:val="24"/>
      <w:szCs w:val="24"/>
    </w:rPr>
  </w:style>
  <w:style w:type="character" w:customStyle="1" w:styleId="79">
    <w:name w:val="HTML 预设格式 字符"/>
    <w:basedOn w:val="46"/>
    <w:link w:val="40"/>
    <w:qFormat/>
    <w:uiPriority w:val="99"/>
    <w:rPr>
      <w:rFonts w:ascii="宋体" w:hAnsi="宋体"/>
      <w:kern w:val="0"/>
      <w:sz w:val="24"/>
      <w:szCs w:val="24"/>
    </w:rPr>
  </w:style>
  <w:style w:type="character" w:customStyle="1" w:styleId="80">
    <w:name w:val="标题 字符"/>
    <w:basedOn w:val="46"/>
    <w:link w:val="42"/>
    <w:qFormat/>
    <w:uiPriority w:val="0"/>
    <w:rPr>
      <w:rFonts w:ascii="Cambria" w:hAnsi="Cambria"/>
      <w:b/>
      <w:bCs/>
      <w:sz w:val="32"/>
      <w:szCs w:val="32"/>
    </w:rPr>
  </w:style>
  <w:style w:type="character" w:customStyle="1" w:styleId="81">
    <w:name w:val="批注主题 字符"/>
    <w:basedOn w:val="65"/>
    <w:link w:val="43"/>
    <w:qFormat/>
    <w:uiPriority w:val="0"/>
    <w:rPr>
      <w:b/>
      <w:bCs/>
      <w:szCs w:val="24"/>
    </w:rPr>
  </w:style>
  <w:style w:type="paragraph" w:customStyle="1" w:styleId="82">
    <w:name w:val="列出段落1"/>
    <w:basedOn w:val="1"/>
    <w:qFormat/>
    <w:uiPriority w:val="0"/>
    <w:pPr>
      <w:ind w:firstLine="420" w:firstLineChars="200"/>
    </w:pPr>
    <w:rPr>
      <w:rFonts w:ascii="Calibri" w:hAnsi="Calibri"/>
      <w:szCs w:val="22"/>
    </w:rPr>
  </w:style>
  <w:style w:type="paragraph" w:customStyle="1" w:styleId="83">
    <w:name w:val="Char"/>
    <w:basedOn w:val="1"/>
    <w:qFormat/>
    <w:uiPriority w:val="0"/>
    <w:pPr>
      <w:tabs>
        <w:tab w:val="left" w:pos="4665"/>
        <w:tab w:val="left" w:pos="8970"/>
      </w:tabs>
      <w:ind w:firstLine="400"/>
    </w:pPr>
    <w:rPr>
      <w:rFonts w:ascii="Tahoma" w:hAnsi="Tahoma" w:cs="Tahoma"/>
      <w:sz w:val="24"/>
    </w:rPr>
  </w:style>
  <w:style w:type="paragraph" w:customStyle="1" w:styleId="84">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5">
    <w:name w:val="Char Char Char Char Char Char Char Char Char Char"/>
    <w:basedOn w:val="1"/>
    <w:qFormat/>
    <w:uiPriority w:val="0"/>
    <w:pPr>
      <w:spacing w:line="240" w:lineRule="exact"/>
      <w:ind w:firstLine="200" w:firstLineChars="200"/>
    </w:pPr>
    <w:rPr>
      <w:rFonts w:cs="宋体"/>
      <w:color w:val="000000"/>
      <w:sz w:val="24"/>
      <w:lang w:val="zh-CN"/>
    </w:rPr>
  </w:style>
  <w:style w:type="paragraph" w:customStyle="1" w:styleId="86">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87">
    <w:name w:val="段落正文"/>
    <w:basedOn w:val="1"/>
    <w:qFormat/>
    <w:uiPriority w:val="0"/>
    <w:pPr>
      <w:spacing w:line="300" w:lineRule="auto"/>
      <w:ind w:firstLine="482" w:firstLineChars="200"/>
    </w:pPr>
    <w:rPr>
      <w:sz w:val="24"/>
    </w:rPr>
  </w:style>
  <w:style w:type="paragraph" w:styleId="88">
    <w:name w:val="List Paragraph"/>
    <w:basedOn w:val="1"/>
    <w:link w:val="89"/>
    <w:qFormat/>
    <w:uiPriority w:val="34"/>
    <w:pPr>
      <w:ind w:firstLine="420" w:firstLineChars="200"/>
    </w:pPr>
  </w:style>
  <w:style w:type="character" w:customStyle="1" w:styleId="89">
    <w:name w:val="列表段落 字符"/>
    <w:link w:val="88"/>
    <w:qFormat/>
    <w:uiPriority w:val="34"/>
    <w:rPr>
      <w:szCs w:val="24"/>
    </w:rPr>
  </w:style>
  <w:style w:type="paragraph" w:customStyle="1" w:styleId="90">
    <w:name w:val="Default"/>
    <w:basedOn w:val="1"/>
    <w:qFormat/>
    <w:uiPriority w:val="0"/>
    <w:pPr>
      <w:autoSpaceDE w:val="0"/>
      <w:autoSpaceDN w:val="0"/>
      <w:adjustRightInd w:val="0"/>
      <w:jc w:val="left"/>
    </w:pPr>
    <w:rPr>
      <w:rFonts w:cs="宋体"/>
      <w:color w:val="000000"/>
      <w:kern w:val="0"/>
      <w:sz w:val="24"/>
    </w:rPr>
  </w:style>
  <w:style w:type="paragraph" w:customStyle="1" w:styleId="91">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92">
    <w:name w:val="_Style 2"/>
    <w:basedOn w:val="1"/>
    <w:qFormat/>
    <w:uiPriority w:val="0"/>
    <w:pPr>
      <w:ind w:firstLine="420" w:firstLineChars="200"/>
    </w:pPr>
  </w:style>
  <w:style w:type="character" w:customStyle="1" w:styleId="93">
    <w:name w:val="标题 Char1"/>
    <w:qFormat/>
    <w:uiPriority w:val="10"/>
    <w:rPr>
      <w:rFonts w:ascii="Cambria" w:hAnsi="Cambria" w:cs="Times New Roman"/>
      <w:b/>
      <w:bCs/>
      <w:kern w:val="2"/>
      <w:sz w:val="32"/>
      <w:szCs w:val="32"/>
    </w:rPr>
  </w:style>
  <w:style w:type="paragraph" w:customStyle="1" w:styleId="94">
    <w:name w:val="正文11111"/>
    <w:qFormat/>
    <w:uiPriority w:val="0"/>
    <w:pPr>
      <w:jc w:val="both"/>
    </w:pPr>
    <w:rPr>
      <w:rFonts w:ascii="Times New Roman" w:hAnsi="Times New Roman" w:eastAsia="宋体" w:cs="Times New Roman"/>
      <w:kern w:val="2"/>
      <w:sz w:val="21"/>
      <w:szCs w:val="21"/>
      <w:lang w:val="en-US" w:eastAsia="zh-CN" w:bidi="ar-SA"/>
    </w:rPr>
  </w:style>
  <w:style w:type="character" w:customStyle="1" w:styleId="95">
    <w:name w:val="页眉 Char1"/>
    <w:basedOn w:val="46"/>
    <w:semiHidden/>
    <w:qFormat/>
    <w:uiPriority w:val="99"/>
    <w:rPr>
      <w:rFonts w:ascii="Times New Roman" w:hAnsi="Times New Roman" w:eastAsia="宋体" w:cs="Times New Roman"/>
      <w:sz w:val="18"/>
      <w:szCs w:val="18"/>
    </w:rPr>
  </w:style>
  <w:style w:type="character" w:customStyle="1" w:styleId="96">
    <w:name w:val="apple-converted-space"/>
    <w:basedOn w:val="46"/>
    <w:qFormat/>
    <w:uiPriority w:val="0"/>
  </w:style>
  <w:style w:type="character" w:customStyle="1" w:styleId="97">
    <w:name w:val="表格 Char"/>
    <w:link w:val="98"/>
    <w:qFormat/>
    <w:uiPriority w:val="0"/>
    <w:rPr>
      <w:szCs w:val="24"/>
    </w:rPr>
  </w:style>
  <w:style w:type="paragraph" w:customStyle="1" w:styleId="98">
    <w:name w:val="表格"/>
    <w:basedOn w:val="1"/>
    <w:link w:val="97"/>
    <w:qFormat/>
    <w:uiPriority w:val="0"/>
    <w:pPr>
      <w:jc w:val="center"/>
    </w:pPr>
  </w:style>
  <w:style w:type="paragraph" w:customStyle="1" w:styleId="99">
    <w:name w:val="条文"/>
    <w:basedOn w:val="1"/>
    <w:qFormat/>
    <w:uiPriority w:val="0"/>
    <w:pPr>
      <w:adjustRightInd w:val="0"/>
      <w:spacing w:line="300" w:lineRule="auto"/>
      <w:ind w:firstLine="200" w:firstLineChars="200"/>
      <w:outlineLvl w:val="2"/>
    </w:pPr>
    <w:rPr>
      <w:sz w:val="24"/>
    </w:rPr>
  </w:style>
  <w:style w:type="paragraph" w:customStyle="1" w:styleId="100">
    <w:name w:val="Table Paragraph"/>
    <w:basedOn w:val="1"/>
    <w:qFormat/>
    <w:uiPriority w:val="1"/>
    <w:pPr>
      <w:autoSpaceDE w:val="0"/>
      <w:autoSpaceDN w:val="0"/>
      <w:adjustRightInd w:val="0"/>
      <w:jc w:val="left"/>
    </w:pPr>
    <w:rPr>
      <w:kern w:val="0"/>
      <w:sz w:val="24"/>
    </w:rPr>
  </w:style>
  <w:style w:type="paragraph" w:customStyle="1" w:styleId="101">
    <w:name w:val="a章"/>
    <w:qFormat/>
    <w:uiPriority w:val="0"/>
    <w:pPr>
      <w:numPr>
        <w:ilvl w:val="0"/>
        <w:numId w:val="1"/>
      </w:numPr>
      <w:spacing w:line="400" w:lineRule="exact"/>
    </w:pPr>
    <w:rPr>
      <w:rFonts w:ascii="宋体" w:hAnsi="宋体" w:eastAsia="宋体" w:cs="Times New Roman"/>
      <w:kern w:val="2"/>
      <w:sz w:val="21"/>
      <w:szCs w:val="21"/>
      <w:lang w:val="en-US" w:eastAsia="zh-CN" w:bidi="ar-SA"/>
    </w:rPr>
  </w:style>
  <w:style w:type="paragraph" w:customStyle="1" w:styleId="102">
    <w:name w:val="c节"/>
    <w:basedOn w:val="101"/>
    <w:next w:val="1"/>
    <w:qFormat/>
    <w:uiPriority w:val="0"/>
    <w:pPr>
      <w:numPr>
        <w:ilvl w:val="1"/>
      </w:numPr>
    </w:pPr>
  </w:style>
  <w:style w:type="paragraph" w:customStyle="1" w:styleId="103">
    <w:name w:val="d点"/>
    <w:basedOn w:val="101"/>
    <w:next w:val="1"/>
    <w:qFormat/>
    <w:uiPriority w:val="0"/>
    <w:pPr>
      <w:numPr>
        <w:ilvl w:val="2"/>
      </w:numPr>
      <w:spacing w:line="360" w:lineRule="exact"/>
      <w:jc w:val="both"/>
    </w:pPr>
  </w:style>
  <w:style w:type="paragraph" w:customStyle="1" w:styleId="104">
    <w:name w:val="a控制项"/>
    <w:qFormat/>
    <w:uiPriority w:val="0"/>
    <w:pPr>
      <w:numPr>
        <w:ilvl w:val="0"/>
        <w:numId w:val="2"/>
      </w:numPr>
      <w:spacing w:line="400" w:lineRule="exact"/>
    </w:pPr>
    <w:rPr>
      <w:rFonts w:ascii="宋体" w:hAnsi="宋体" w:eastAsia="宋体" w:cs="Times New Roman"/>
      <w:b/>
      <w:kern w:val="2"/>
      <w:sz w:val="21"/>
      <w:szCs w:val="21"/>
      <w:lang w:val="en-US" w:eastAsia="zh-CN" w:bidi="ar-SA"/>
    </w:rPr>
  </w:style>
  <w:style w:type="paragraph" w:customStyle="1" w:styleId="105">
    <w:name w:val="列表段落1"/>
    <w:basedOn w:val="1"/>
    <w:qFormat/>
    <w:uiPriority w:val="34"/>
    <w:pPr>
      <w:ind w:firstLine="420" w:firstLineChars="200"/>
    </w:pPr>
  </w:style>
  <w:style w:type="paragraph" w:customStyle="1" w:styleId="106">
    <w:name w:val="e正文-2"/>
    <w:basedOn w:val="102"/>
    <w:qFormat/>
    <w:uiPriority w:val="0"/>
    <w:pPr>
      <w:numPr>
        <w:ilvl w:val="0"/>
        <w:numId w:val="0"/>
      </w:numPr>
      <w:ind w:left="500" w:leftChars="400" w:hanging="100" w:hangingChars="100"/>
    </w:pPr>
  </w:style>
  <w:style w:type="paragraph" w:customStyle="1" w:styleId="10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08">
    <w:name w:val="正文--非编号"/>
    <w:basedOn w:val="1"/>
    <w:qFormat/>
    <w:uiPriority w:val="0"/>
    <w:pPr>
      <w:spacing w:line="340" w:lineRule="exact"/>
      <w:ind w:firstLine="840" w:firstLineChars="400"/>
    </w:pPr>
    <w:rPr>
      <w:rFonts w:ascii="宋体" w:hAnsi="宋体"/>
      <w:bCs/>
      <w:color w:val="FF0000"/>
      <w:szCs w:val="21"/>
    </w:rPr>
  </w:style>
  <w:style w:type="paragraph" w:customStyle="1" w:styleId="109">
    <w:name w:val="正文11"/>
    <w:qFormat/>
    <w:uiPriority w:val="0"/>
    <w:pPr>
      <w:jc w:val="both"/>
    </w:pPr>
    <w:rPr>
      <w:rFonts w:ascii="Times New Roman" w:hAnsi="Times New Roman" w:eastAsia="宋体" w:cs="Times New Roman"/>
      <w:kern w:val="2"/>
      <w:sz w:val="21"/>
      <w:szCs w:val="21"/>
      <w:lang w:val="en-US" w:eastAsia="zh-CN" w:bidi="ar-SA"/>
    </w:rPr>
  </w:style>
  <w:style w:type="paragraph" w:customStyle="1" w:styleId="110">
    <w:name w:val="正文2"/>
    <w:qFormat/>
    <w:uiPriority w:val="0"/>
    <w:pPr>
      <w:jc w:val="both"/>
    </w:pPr>
    <w:rPr>
      <w:rFonts w:ascii="Times New Roman" w:hAnsi="Times New Roman" w:eastAsia="宋体" w:cs="Times New Roman"/>
      <w:kern w:val="2"/>
      <w:sz w:val="21"/>
      <w:szCs w:val="21"/>
      <w:lang w:val="en-US" w:eastAsia="zh-CN" w:bidi="ar-SA"/>
    </w:rPr>
  </w:style>
  <w:style w:type="character" w:styleId="111">
    <w:name w:val="Placeholder Text"/>
    <w:basedOn w:val="46"/>
    <w:semiHidden/>
    <w:qFormat/>
    <w:uiPriority w:val="99"/>
    <w:rPr>
      <w:color w:val="808080"/>
    </w:rPr>
  </w:style>
  <w:style w:type="paragraph" w:customStyle="1" w:styleId="112">
    <w:name w:val="正文111"/>
    <w:qFormat/>
    <w:uiPriority w:val="0"/>
    <w:pPr>
      <w:jc w:val="both"/>
    </w:pPr>
    <w:rPr>
      <w:rFonts w:ascii="Times New Roman" w:hAnsi="Times New Roman" w:eastAsia="宋体" w:cs="Times New Roman"/>
      <w:kern w:val="2"/>
      <w:sz w:val="21"/>
      <w:szCs w:val="21"/>
      <w:lang w:val="en-US" w:eastAsia="zh-CN" w:bidi="ar-SA"/>
    </w:rPr>
  </w:style>
  <w:style w:type="paragraph" w:customStyle="1" w:styleId="113">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4">
    <w:name w:val="正文1111"/>
    <w:qFormat/>
    <w:uiPriority w:val="0"/>
    <w:pPr>
      <w:jc w:val="both"/>
    </w:pPr>
    <w:rPr>
      <w:rFonts w:ascii="Times New Roman" w:hAnsi="Times New Roman" w:eastAsia="宋体" w:cs="Times New Roman"/>
      <w:kern w:val="2"/>
      <w:sz w:val="21"/>
      <w:szCs w:val="21"/>
      <w:lang w:val="en-US" w:eastAsia="zh-CN" w:bidi="ar-SA"/>
    </w:rPr>
  </w:style>
  <w:style w:type="character" w:customStyle="1" w:styleId="115">
    <w:name w:val="页脚 Char"/>
    <w:basedOn w:val="46"/>
    <w:qFormat/>
    <w:uiPriority w:val="99"/>
    <w:rPr>
      <w:rFonts w:ascii="Times New Roman" w:hAnsi="Times New Roman" w:eastAsia="等线" w:cs="Times New Roman"/>
      <w:kern w:val="0"/>
      <w:sz w:val="18"/>
      <w:szCs w:val="18"/>
    </w:rPr>
  </w:style>
  <w:style w:type="paragraph" w:styleId="116">
    <w:name w:val="No Spacing"/>
    <w:unhideWhenUsed/>
    <w:qFormat/>
    <w:uiPriority w:val="1"/>
    <w:pPr>
      <w:widowControl w:val="0"/>
      <w:autoSpaceDE w:val="0"/>
      <w:autoSpaceDN w:val="0"/>
      <w:adjustRightInd w:val="0"/>
    </w:pPr>
    <w:rPr>
      <w:rFonts w:hint="eastAsia" w:ascii="Times New Roman" w:hAnsi="Times New Roman" w:eastAsia="等线" w:cs="Times New Roman"/>
      <w:kern w:val="0"/>
      <w:sz w:val="24"/>
      <w:lang w:val="en-US" w:eastAsia="zh-CN" w:bidi="ar-SA"/>
    </w:rPr>
  </w:style>
  <w:style w:type="paragraph" w:customStyle="1" w:styleId="117">
    <w:name w:val="样式"/>
    <w:basedOn w:val="1"/>
    <w:next w:val="88"/>
    <w:unhideWhenUsed/>
    <w:qFormat/>
    <w:uiPriority w:val="99"/>
    <w:pPr>
      <w:ind w:firstLine="420"/>
    </w:pPr>
    <w:rPr>
      <w:rFonts w:hint="eastAsia"/>
      <w:szCs w:val="20"/>
    </w:rPr>
  </w:style>
  <w:style w:type="character" w:customStyle="1" w:styleId="118">
    <w:name w:val="批注框文本 字符2"/>
    <w:basedOn w:val="46"/>
    <w:unhideWhenUsed/>
    <w:qFormat/>
    <w:uiPriority w:val="99"/>
    <w:rPr>
      <w:rFonts w:hint="default" w:ascii="Times New Roman" w:hAnsi="Times New Roman" w:eastAsia="等线"/>
      <w:sz w:val="18"/>
    </w:rPr>
  </w:style>
  <w:style w:type="character" w:customStyle="1" w:styleId="119">
    <w:name w:val="批注文字 字符1"/>
    <w:basedOn w:val="46"/>
    <w:unhideWhenUsed/>
    <w:qFormat/>
    <w:uiPriority w:val="99"/>
    <w:rPr>
      <w:rFonts w:hint="default" w:ascii="Times New Roman" w:hAnsi="Times New Roman" w:eastAsia="Times New Roman"/>
      <w:sz w:val="24"/>
    </w:rPr>
  </w:style>
  <w:style w:type="character" w:customStyle="1" w:styleId="120">
    <w:name w:val="页脚 字符2"/>
    <w:basedOn w:val="46"/>
    <w:unhideWhenUsed/>
    <w:qFormat/>
    <w:uiPriority w:val="99"/>
    <w:rPr>
      <w:rFonts w:hint="default" w:ascii="Times New Roman" w:hAnsi="Times New Roman" w:eastAsia="等线"/>
      <w:sz w:val="18"/>
    </w:rPr>
  </w:style>
  <w:style w:type="character" w:customStyle="1" w:styleId="121">
    <w:name w:val="正文文本 字符1"/>
    <w:basedOn w:val="46"/>
    <w:unhideWhenUsed/>
    <w:qFormat/>
    <w:uiPriority w:val="99"/>
    <w:rPr>
      <w:rFonts w:hint="default" w:ascii="Times New Roman" w:hAnsi="Times New Roman" w:eastAsia="Times New Roman"/>
      <w:sz w:val="24"/>
    </w:rPr>
  </w:style>
  <w:style w:type="character" w:customStyle="1" w:styleId="122">
    <w:name w:val="页眉 字符2"/>
    <w:basedOn w:val="46"/>
    <w:unhideWhenUsed/>
    <w:qFormat/>
    <w:uiPriority w:val="99"/>
    <w:rPr>
      <w:rFonts w:hint="default" w:ascii="Times New Roman" w:hAnsi="Times New Roman" w:eastAsia="等线"/>
      <w:sz w:val="18"/>
    </w:rPr>
  </w:style>
  <w:style w:type="character" w:customStyle="1" w:styleId="123">
    <w:name w:val="批注主题 字符2"/>
    <w:basedOn w:val="65"/>
    <w:unhideWhenUsed/>
    <w:qFormat/>
    <w:uiPriority w:val="99"/>
    <w:rPr>
      <w:rFonts w:hint="default" w:ascii="Times New Roman" w:hAnsi="Times New Roman" w:eastAsia="等线" w:cs="Times New Roman"/>
      <w:b/>
      <w:kern w:val="0"/>
      <w:sz w:val="24"/>
      <w:szCs w:val="20"/>
    </w:rPr>
  </w:style>
  <w:style w:type="character" w:customStyle="1" w:styleId="124">
    <w:name w:val="日期 字符2"/>
    <w:basedOn w:val="46"/>
    <w:unhideWhenUsed/>
    <w:qFormat/>
    <w:uiPriority w:val="99"/>
    <w:rPr>
      <w:rFonts w:hint="default" w:ascii="Times New Roman" w:hAnsi="Times New Roman" w:eastAsia="等线"/>
      <w:sz w:val="24"/>
    </w:rPr>
  </w:style>
  <w:style w:type="character" w:customStyle="1" w:styleId="125">
    <w:name w:val="批注框文本 字符1"/>
    <w:basedOn w:val="46"/>
    <w:unhideWhenUsed/>
    <w:qFormat/>
    <w:uiPriority w:val="99"/>
    <w:rPr>
      <w:rFonts w:hint="default" w:ascii="Times New Roman" w:hAnsi="Times New Roman" w:eastAsia="Times New Roman"/>
      <w:sz w:val="18"/>
    </w:rPr>
  </w:style>
  <w:style w:type="character" w:customStyle="1" w:styleId="126">
    <w:name w:val="批注主题 字符1"/>
    <w:basedOn w:val="65"/>
    <w:unhideWhenUsed/>
    <w:qFormat/>
    <w:uiPriority w:val="99"/>
    <w:rPr>
      <w:rFonts w:hint="default" w:ascii="Times New Roman" w:hAnsi="Times New Roman" w:eastAsia="Times New Roman" w:cs="Times New Roman"/>
      <w:b/>
      <w:kern w:val="0"/>
      <w:sz w:val="24"/>
      <w:szCs w:val="20"/>
    </w:rPr>
  </w:style>
  <w:style w:type="character" w:customStyle="1" w:styleId="127">
    <w:name w:val="批注文字 字符2"/>
    <w:basedOn w:val="46"/>
    <w:unhideWhenUsed/>
    <w:qFormat/>
    <w:uiPriority w:val="99"/>
    <w:rPr>
      <w:rFonts w:hint="default" w:ascii="Times New Roman" w:hAnsi="Times New Roman" w:eastAsia="等线"/>
      <w:sz w:val="24"/>
    </w:rPr>
  </w:style>
  <w:style w:type="character" w:customStyle="1" w:styleId="128">
    <w:name w:val="正文文本 字符2"/>
    <w:basedOn w:val="46"/>
    <w:unhideWhenUsed/>
    <w:qFormat/>
    <w:uiPriority w:val="99"/>
    <w:rPr>
      <w:rFonts w:hint="default" w:ascii="Times New Roman" w:hAnsi="Times New Roman" w:eastAsia="等线"/>
      <w:sz w:val="24"/>
    </w:rPr>
  </w:style>
  <w:style w:type="character" w:customStyle="1" w:styleId="129">
    <w:name w:val="页眉 字符1"/>
    <w:basedOn w:val="46"/>
    <w:unhideWhenUsed/>
    <w:qFormat/>
    <w:uiPriority w:val="99"/>
    <w:rPr>
      <w:rFonts w:hint="default" w:ascii="Times New Roman" w:hAnsi="Times New Roman" w:eastAsia="Times New Roman"/>
      <w:sz w:val="18"/>
    </w:rPr>
  </w:style>
  <w:style w:type="character" w:customStyle="1" w:styleId="130">
    <w:name w:val="页脚 字符1"/>
    <w:basedOn w:val="46"/>
    <w:unhideWhenUsed/>
    <w:qFormat/>
    <w:uiPriority w:val="99"/>
    <w:rPr>
      <w:rFonts w:hint="default" w:ascii="Times New Roman" w:hAnsi="Times New Roman" w:eastAsia="Times New Roman"/>
      <w:sz w:val="18"/>
    </w:rPr>
  </w:style>
  <w:style w:type="character" w:customStyle="1" w:styleId="131">
    <w:name w:val="日期 字符1"/>
    <w:basedOn w:val="46"/>
    <w:unhideWhenUsed/>
    <w:qFormat/>
    <w:uiPriority w:val="99"/>
    <w:rPr>
      <w:rFonts w:hint="default" w:ascii="Times New Roman" w:hAnsi="Times New Roman" w:eastAsia="Times New Roman"/>
      <w:sz w:val="24"/>
    </w:rPr>
  </w:style>
  <w:style w:type="paragraph" w:customStyle="1" w:styleId="132">
    <w:name w:val="xl27"/>
    <w:basedOn w:val="1"/>
    <w:qFormat/>
    <w:uiPriority w:val="0"/>
    <w:pPr>
      <w:widowControl/>
      <w:pBdr>
        <w:left w:val="single" w:color="auto" w:sz="4" w:space="0"/>
        <w:right w:val="single" w:color="auto" w:sz="4" w:space="0"/>
      </w:pBdr>
      <w:spacing w:before="100" w:beforeAutospacing="1" w:after="100" w:afterAutospacing="1" w:line="320" w:lineRule="exact"/>
      <w:jc w:val="center"/>
      <w:textAlignment w:val="center"/>
    </w:pPr>
    <w:rPr>
      <w:rFonts w:ascii="宋体" w:hAnsi="宋体"/>
      <w:kern w:val="0"/>
      <w:sz w:val="20"/>
      <w:szCs w:val="20"/>
    </w:rPr>
  </w:style>
  <w:style w:type="paragraph" w:customStyle="1" w:styleId="133">
    <w:name w:val="xl30"/>
    <w:basedOn w:val="1"/>
    <w:qFormat/>
    <w:uiPriority w:val="0"/>
    <w:pPr>
      <w:widowControl/>
      <w:spacing w:before="100" w:beforeAutospacing="1" w:after="100" w:afterAutospacing="1" w:line="320" w:lineRule="exact"/>
      <w:jc w:val="center"/>
      <w:textAlignment w:val="center"/>
    </w:pPr>
    <w:rPr>
      <w:rFonts w:ascii="宋体" w:hAnsi="宋体"/>
      <w:kern w:val="0"/>
      <w:sz w:val="24"/>
    </w:rPr>
  </w:style>
  <w:style w:type="character" w:customStyle="1" w:styleId="134">
    <w:name w:val="已访问的超链接1"/>
    <w:qFormat/>
    <w:uiPriority w:val="99"/>
    <w:rPr>
      <w:color w:val="800080"/>
      <w:u w:val="single"/>
    </w:rPr>
  </w:style>
  <w:style w:type="paragraph" w:customStyle="1" w:styleId="135">
    <w:name w:val="封面正文"/>
    <w:qFormat/>
    <w:uiPriority w:val="0"/>
    <w:pPr>
      <w:jc w:val="both"/>
    </w:pPr>
    <w:rPr>
      <w:rFonts w:ascii="Times New Roman" w:hAnsi="Times New Roman" w:eastAsia="宋体" w:cs="Times New Roman"/>
      <w:kern w:val="0"/>
      <w:sz w:val="20"/>
      <w:lang w:val="en-US" w:eastAsia="zh-CN" w:bidi="ar-SA"/>
    </w:rPr>
  </w:style>
  <w:style w:type="paragraph" w:customStyle="1" w:styleId="136">
    <w:name w:val="段"/>
    <w:link w:val="137"/>
    <w:qFormat/>
    <w:uiPriority w:val="0"/>
    <w:pPr>
      <w:autoSpaceDE w:val="0"/>
      <w:autoSpaceDN w:val="0"/>
      <w:ind w:firstLine="200" w:firstLineChars="200"/>
      <w:jc w:val="both"/>
    </w:pPr>
    <w:rPr>
      <w:rFonts w:ascii="宋体" w:hAnsi="Times New Roman" w:eastAsia="宋体" w:cs="Times New Roman"/>
      <w:kern w:val="0"/>
      <w:sz w:val="21"/>
      <w:lang w:val="en-US" w:eastAsia="zh-CN" w:bidi="ar-SA"/>
    </w:rPr>
  </w:style>
  <w:style w:type="character" w:customStyle="1" w:styleId="137">
    <w:name w:val="段 Char"/>
    <w:link w:val="136"/>
    <w:qFormat/>
    <w:uiPriority w:val="0"/>
    <w:rPr>
      <w:rFonts w:ascii="宋体"/>
      <w:kern w:val="0"/>
    </w:rPr>
  </w:style>
  <w:style w:type="paragraph" w:customStyle="1" w:styleId="138">
    <w:name w:val="一级条标题"/>
    <w:basedOn w:val="1"/>
    <w:next w:val="1"/>
    <w:qFormat/>
    <w:uiPriority w:val="0"/>
    <w:pPr>
      <w:widowControl/>
      <w:tabs>
        <w:tab w:val="left" w:pos="360"/>
      </w:tabs>
      <w:spacing w:line="320" w:lineRule="exact"/>
      <w:outlineLvl w:val="2"/>
    </w:pPr>
    <w:rPr>
      <w:rFonts w:ascii="黑体" w:eastAsia="黑体"/>
      <w:kern w:val="0"/>
      <w:szCs w:val="20"/>
    </w:rPr>
  </w:style>
  <w:style w:type="paragraph" w:customStyle="1" w:styleId="139">
    <w:name w:val="二级条标题"/>
    <w:basedOn w:val="138"/>
    <w:next w:val="1"/>
    <w:qFormat/>
    <w:uiPriority w:val="0"/>
    <w:pPr>
      <w:outlineLvl w:val="3"/>
    </w:pPr>
  </w:style>
  <w:style w:type="paragraph" w:customStyle="1" w:styleId="140">
    <w:name w:val="三级条标题"/>
    <w:basedOn w:val="139"/>
    <w:next w:val="1"/>
    <w:qFormat/>
    <w:uiPriority w:val="0"/>
    <w:pPr>
      <w:outlineLvl w:val="4"/>
    </w:pPr>
  </w:style>
  <w:style w:type="paragraph" w:customStyle="1" w:styleId="141">
    <w:name w:val="四级条标题"/>
    <w:basedOn w:val="140"/>
    <w:next w:val="1"/>
    <w:qFormat/>
    <w:uiPriority w:val="0"/>
    <w:pPr>
      <w:outlineLvl w:val="5"/>
    </w:pPr>
  </w:style>
  <w:style w:type="paragraph" w:customStyle="1" w:styleId="142">
    <w:name w:val="章标题"/>
    <w:next w:val="136"/>
    <w:qFormat/>
    <w:uiPriority w:val="0"/>
    <w:pPr>
      <w:numPr>
        <w:ilvl w:val="1"/>
        <w:numId w:val="3"/>
      </w:numPr>
      <w:spacing w:before="50" w:after="50"/>
      <w:jc w:val="both"/>
      <w:outlineLvl w:val="1"/>
    </w:pPr>
    <w:rPr>
      <w:rFonts w:ascii="黑体" w:hAnsi="Times New Roman" w:eastAsia="黑体" w:cs="Times New Roman"/>
      <w:kern w:val="0"/>
      <w:sz w:val="21"/>
      <w:lang w:val="en-US" w:eastAsia="zh-CN" w:bidi="ar-SA"/>
    </w:rPr>
  </w:style>
  <w:style w:type="paragraph" w:customStyle="1" w:styleId="143">
    <w:name w:val="前言、引言标题"/>
    <w:next w:val="1"/>
    <w:qFormat/>
    <w:uiPriority w:val="0"/>
    <w:pPr>
      <w:numPr>
        <w:ilvl w:val="0"/>
        <w:numId w:val="3"/>
      </w:numPr>
      <w:shd w:val="clear" w:color="FFFFFF" w:fill="FFFFFF"/>
      <w:tabs>
        <w:tab w:val="left" w:pos="903"/>
      </w:tabs>
      <w:spacing w:before="640" w:after="560"/>
      <w:ind w:left="903" w:hanging="315"/>
      <w:jc w:val="center"/>
      <w:outlineLvl w:val="0"/>
    </w:pPr>
    <w:rPr>
      <w:rFonts w:ascii="黑体" w:hAnsi="Times New Roman" w:eastAsia="黑体" w:cs="Times New Roman"/>
      <w:kern w:val="0"/>
      <w:sz w:val="32"/>
      <w:lang w:val="en-US" w:eastAsia="zh-CN" w:bidi="ar-SA"/>
    </w:rPr>
  </w:style>
  <w:style w:type="paragraph" w:customStyle="1" w:styleId="144">
    <w:name w:val="目次、标准名称标题"/>
    <w:basedOn w:val="143"/>
    <w:next w:val="136"/>
    <w:qFormat/>
    <w:uiPriority w:val="0"/>
    <w:pPr>
      <w:numPr>
        <w:numId w:val="0"/>
      </w:numPr>
      <w:spacing w:line="460" w:lineRule="exact"/>
    </w:pPr>
  </w:style>
  <w:style w:type="paragraph" w:customStyle="1" w:styleId="145">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lang w:val="en-US" w:eastAsia="zh-CN" w:bidi="ar-SA"/>
    </w:rPr>
  </w:style>
  <w:style w:type="paragraph" w:customStyle="1" w:styleId="146">
    <w:name w:val="标准书脚_偶数页"/>
    <w:qFormat/>
    <w:uiPriority w:val="0"/>
    <w:pPr>
      <w:spacing w:before="120"/>
    </w:pPr>
    <w:rPr>
      <w:rFonts w:ascii="Times New Roman" w:hAnsi="Times New Roman" w:eastAsia="宋体" w:cs="Times New Roman"/>
      <w:kern w:val="0"/>
      <w:sz w:val="18"/>
      <w:lang w:val="en-US" w:eastAsia="zh-CN" w:bidi="ar-SA"/>
    </w:rPr>
  </w:style>
  <w:style w:type="paragraph" w:customStyle="1" w:styleId="147">
    <w:name w:val="封面标准文稿编辑信息"/>
    <w:qFormat/>
    <w:uiPriority w:val="0"/>
    <w:pPr>
      <w:spacing w:before="180" w:line="180" w:lineRule="exact"/>
      <w:jc w:val="center"/>
    </w:pPr>
    <w:rPr>
      <w:rFonts w:ascii="宋体" w:hAnsi="Times New Roman" w:eastAsia="宋体" w:cs="Times New Roman"/>
      <w:kern w:val="0"/>
      <w:sz w:val="21"/>
      <w:lang w:val="en-US" w:eastAsia="zh-CN" w:bidi="ar-SA"/>
    </w:rPr>
  </w:style>
  <w:style w:type="character" w:customStyle="1" w:styleId="148">
    <w:name w:val="HTML Markup"/>
    <w:qFormat/>
    <w:uiPriority w:val="0"/>
    <w:rPr>
      <w:vanish/>
      <w:color w:val="FF0000"/>
    </w:rPr>
  </w:style>
  <w:style w:type="paragraph" w:customStyle="1" w:styleId="149">
    <w:name w:val="五级条标题"/>
    <w:basedOn w:val="141"/>
    <w:next w:val="1"/>
    <w:qFormat/>
    <w:uiPriority w:val="0"/>
    <w:pPr>
      <w:numPr>
        <w:ilvl w:val="3"/>
        <w:numId w:val="4"/>
      </w:numPr>
      <w:outlineLvl w:val="6"/>
    </w:pPr>
  </w:style>
  <w:style w:type="paragraph" w:customStyle="1" w:styleId="150">
    <w:name w:val="附录标识"/>
    <w:basedOn w:val="143"/>
    <w:qFormat/>
    <w:uiPriority w:val="0"/>
    <w:pPr>
      <w:numPr>
        <w:ilvl w:val="4"/>
        <w:numId w:val="4"/>
      </w:numPr>
      <w:tabs>
        <w:tab w:val="left" w:pos="6405"/>
      </w:tabs>
      <w:spacing w:after="200"/>
    </w:pPr>
    <w:rPr>
      <w:sz w:val="21"/>
    </w:rPr>
  </w:style>
  <w:style w:type="paragraph" w:customStyle="1" w:styleId="151">
    <w:name w:val="附录章标题"/>
    <w:next w:val="136"/>
    <w:qFormat/>
    <w:uiPriority w:val="0"/>
    <w:pPr>
      <w:numPr>
        <w:ilvl w:val="5"/>
        <w:numId w:val="4"/>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52">
    <w:name w:val="附录一级条标题"/>
    <w:basedOn w:val="151"/>
    <w:next w:val="136"/>
    <w:qFormat/>
    <w:uiPriority w:val="0"/>
    <w:pPr>
      <w:numPr>
        <w:ilvl w:val="0"/>
        <w:numId w:val="0"/>
      </w:numPr>
      <w:tabs>
        <w:tab w:val="left" w:pos="828"/>
      </w:tabs>
      <w:autoSpaceDN w:val="0"/>
      <w:spacing w:beforeLines="0" w:afterLines="0"/>
      <w:ind w:left="828" w:hanging="240"/>
      <w:outlineLvl w:val="2"/>
    </w:pPr>
  </w:style>
  <w:style w:type="paragraph" w:customStyle="1" w:styleId="153">
    <w:name w:val="附录二级条标题"/>
    <w:basedOn w:val="152"/>
    <w:next w:val="136"/>
    <w:qFormat/>
    <w:uiPriority w:val="0"/>
    <w:pPr>
      <w:numPr>
        <w:ilvl w:val="4"/>
      </w:numPr>
      <w:tabs>
        <w:tab w:val="left" w:pos="360"/>
      </w:tabs>
      <w:ind w:left="360" w:hanging="360"/>
      <w:outlineLvl w:val="3"/>
    </w:pPr>
  </w:style>
  <w:style w:type="paragraph" w:customStyle="1" w:styleId="154">
    <w:name w:val="附录三级条标题"/>
    <w:basedOn w:val="153"/>
    <w:next w:val="136"/>
    <w:qFormat/>
    <w:uiPriority w:val="0"/>
    <w:pPr>
      <w:numPr>
        <w:ilvl w:val="5"/>
      </w:numPr>
      <w:tabs>
        <w:tab w:val="left" w:pos="1068"/>
      </w:tabs>
      <w:ind w:left="1068" w:hanging="360"/>
      <w:outlineLvl w:val="4"/>
    </w:pPr>
  </w:style>
  <w:style w:type="paragraph" w:customStyle="1" w:styleId="155">
    <w:name w:val="附录四级条标题"/>
    <w:basedOn w:val="154"/>
    <w:next w:val="136"/>
    <w:qFormat/>
    <w:uiPriority w:val="0"/>
    <w:pPr>
      <w:numPr>
        <w:ilvl w:val="6"/>
      </w:numPr>
      <w:tabs>
        <w:tab w:val="left" w:pos="960"/>
      </w:tabs>
      <w:ind w:left="960" w:hanging="360"/>
      <w:outlineLvl w:val="5"/>
    </w:pPr>
  </w:style>
  <w:style w:type="paragraph" w:customStyle="1" w:styleId="156">
    <w:name w:val="附录五级条标题"/>
    <w:basedOn w:val="155"/>
    <w:next w:val="136"/>
    <w:qFormat/>
    <w:uiPriority w:val="0"/>
    <w:pPr>
      <w:numPr>
        <w:ilvl w:val="0"/>
        <w:numId w:val="5"/>
      </w:numPr>
      <w:tabs>
        <w:tab w:val="left" w:pos="435"/>
        <w:tab w:val="clear" w:pos="1140"/>
      </w:tabs>
      <w:ind w:left="435" w:hanging="165"/>
      <w:outlineLvl w:val="6"/>
    </w:pPr>
  </w:style>
  <w:style w:type="paragraph" w:customStyle="1" w:styleId="157">
    <w:name w:val="列项——"/>
    <w:qFormat/>
    <w:uiPriority w:val="0"/>
    <w:pPr>
      <w:widowControl w:val="0"/>
      <w:numPr>
        <w:ilvl w:val="0"/>
        <w:numId w:val="6"/>
      </w:numPr>
      <w:tabs>
        <w:tab w:val="left" w:pos="854"/>
        <w:tab w:val="clear" w:pos="1140"/>
      </w:tabs>
      <w:ind w:left="840" w:leftChars="200" w:hanging="420" w:hangingChars="200"/>
      <w:jc w:val="both"/>
    </w:pPr>
    <w:rPr>
      <w:rFonts w:ascii="宋体" w:hAnsi="Times New Roman" w:eastAsia="宋体" w:cs="Times New Roman"/>
      <w:kern w:val="0"/>
      <w:sz w:val="21"/>
      <w:lang w:val="en-US" w:eastAsia="zh-CN" w:bidi="ar-SA"/>
    </w:rPr>
  </w:style>
  <w:style w:type="paragraph" w:customStyle="1" w:styleId="158">
    <w:name w:val="列项·"/>
    <w:qFormat/>
    <w:uiPriority w:val="0"/>
    <w:pPr>
      <w:numPr>
        <w:ilvl w:val="6"/>
        <w:numId w:val="7"/>
      </w:numPr>
      <w:tabs>
        <w:tab w:val="left" w:pos="840"/>
      </w:tabs>
      <w:ind w:left="840" w:leftChars="200" w:hanging="420" w:hangingChars="200"/>
      <w:jc w:val="both"/>
    </w:pPr>
    <w:rPr>
      <w:rFonts w:ascii="宋体" w:hAnsi="Times New Roman" w:eastAsia="宋体" w:cs="Times New Roman"/>
      <w:kern w:val="0"/>
      <w:sz w:val="21"/>
      <w:lang w:val="en-US" w:eastAsia="zh-CN" w:bidi="ar-SA"/>
    </w:rPr>
  </w:style>
  <w:style w:type="paragraph" w:customStyle="1" w:styleId="159">
    <w:name w:val="三级无标题条"/>
    <w:basedOn w:val="1"/>
    <w:qFormat/>
    <w:uiPriority w:val="0"/>
    <w:pPr>
      <w:numPr>
        <w:ilvl w:val="0"/>
        <w:numId w:val="8"/>
      </w:numPr>
      <w:tabs>
        <w:tab w:val="clear" w:pos="1120"/>
      </w:tabs>
      <w:spacing w:line="320" w:lineRule="exact"/>
      <w:ind w:firstLine="0"/>
    </w:pPr>
  </w:style>
  <w:style w:type="paragraph" w:customStyle="1" w:styleId="160">
    <w:name w:val="示例"/>
    <w:next w:val="136"/>
    <w:qFormat/>
    <w:uiPriority w:val="0"/>
    <w:pPr>
      <w:numPr>
        <w:ilvl w:val="5"/>
        <w:numId w:val="7"/>
      </w:numPr>
      <w:tabs>
        <w:tab w:val="left" w:pos="816"/>
      </w:tabs>
      <w:ind w:firstLine="419" w:firstLineChars="233"/>
      <w:jc w:val="both"/>
    </w:pPr>
    <w:rPr>
      <w:rFonts w:ascii="宋体" w:hAnsi="Times New Roman" w:eastAsia="宋体" w:cs="Times New Roman"/>
      <w:kern w:val="0"/>
      <w:sz w:val="18"/>
      <w:lang w:val="en-US" w:eastAsia="zh-CN" w:bidi="ar-SA"/>
    </w:rPr>
  </w:style>
  <w:style w:type="paragraph" w:customStyle="1" w:styleId="161">
    <w:name w:val="四级无标题条"/>
    <w:basedOn w:val="1"/>
    <w:qFormat/>
    <w:uiPriority w:val="0"/>
    <w:pPr>
      <w:spacing w:line="320" w:lineRule="exact"/>
    </w:pPr>
  </w:style>
  <w:style w:type="paragraph" w:customStyle="1" w:styleId="162">
    <w:name w:val="五级无标题条"/>
    <w:basedOn w:val="1"/>
    <w:qFormat/>
    <w:uiPriority w:val="0"/>
    <w:pPr>
      <w:numPr>
        <w:ilvl w:val="2"/>
        <w:numId w:val="7"/>
      </w:numPr>
      <w:spacing w:line="320" w:lineRule="exact"/>
    </w:pPr>
  </w:style>
  <w:style w:type="paragraph" w:customStyle="1" w:styleId="163">
    <w:name w:val="一级无标题条"/>
    <w:basedOn w:val="1"/>
    <w:qFormat/>
    <w:uiPriority w:val="0"/>
    <w:pPr>
      <w:numPr>
        <w:ilvl w:val="0"/>
        <w:numId w:val="9"/>
      </w:numPr>
      <w:spacing w:line="320" w:lineRule="exact"/>
    </w:pPr>
  </w:style>
  <w:style w:type="paragraph" w:customStyle="1" w:styleId="164">
    <w:name w:val="正文表标题"/>
    <w:next w:val="136"/>
    <w:qFormat/>
    <w:uiPriority w:val="0"/>
    <w:pPr>
      <w:numPr>
        <w:ilvl w:val="0"/>
        <w:numId w:val="10"/>
      </w:numPr>
      <w:jc w:val="center"/>
    </w:pPr>
    <w:rPr>
      <w:rFonts w:ascii="黑体" w:hAnsi="Times New Roman" w:eastAsia="黑体" w:cs="Times New Roman"/>
      <w:kern w:val="0"/>
      <w:sz w:val="21"/>
      <w:lang w:val="en-US" w:eastAsia="zh-CN" w:bidi="ar-SA"/>
    </w:rPr>
  </w:style>
  <w:style w:type="paragraph" w:customStyle="1" w:styleId="165">
    <w:name w:val="正文图标题"/>
    <w:next w:val="136"/>
    <w:qFormat/>
    <w:uiPriority w:val="0"/>
    <w:pPr>
      <w:numPr>
        <w:ilvl w:val="0"/>
        <w:numId w:val="11"/>
      </w:numPr>
      <w:tabs>
        <w:tab w:val="clear" w:pos="1140"/>
      </w:tabs>
      <w:ind w:left="0" w:firstLine="0"/>
      <w:jc w:val="center"/>
    </w:pPr>
    <w:rPr>
      <w:rFonts w:ascii="黑体" w:hAnsi="Times New Roman" w:eastAsia="黑体" w:cs="Times New Roman"/>
      <w:kern w:val="0"/>
      <w:sz w:val="21"/>
      <w:lang w:val="en-US" w:eastAsia="zh-CN" w:bidi="ar-SA"/>
    </w:rPr>
  </w:style>
  <w:style w:type="paragraph" w:customStyle="1" w:styleId="166">
    <w:name w:val="注："/>
    <w:next w:val="136"/>
    <w:qFormat/>
    <w:uiPriority w:val="0"/>
    <w:pPr>
      <w:widowControl w:val="0"/>
      <w:numPr>
        <w:ilvl w:val="0"/>
        <w:numId w:val="12"/>
      </w:numPr>
      <w:tabs>
        <w:tab w:val="clear" w:pos="900"/>
      </w:tabs>
      <w:autoSpaceDE w:val="0"/>
      <w:autoSpaceDN w:val="0"/>
      <w:ind w:left="840" w:hanging="420"/>
      <w:jc w:val="both"/>
    </w:pPr>
    <w:rPr>
      <w:rFonts w:ascii="宋体" w:hAnsi="Times New Roman" w:eastAsia="宋体" w:cs="Times New Roman"/>
      <w:kern w:val="0"/>
      <w:sz w:val="18"/>
      <w:lang w:val="en-US" w:eastAsia="zh-CN" w:bidi="ar-SA"/>
    </w:rPr>
  </w:style>
  <w:style w:type="paragraph" w:customStyle="1" w:styleId="167">
    <w:name w:val="注×："/>
    <w:qFormat/>
    <w:uiPriority w:val="0"/>
    <w:pPr>
      <w:widowControl w:val="0"/>
      <w:tabs>
        <w:tab w:val="left" w:pos="630"/>
      </w:tabs>
      <w:autoSpaceDE w:val="0"/>
      <w:autoSpaceDN w:val="0"/>
      <w:jc w:val="both"/>
    </w:pPr>
    <w:rPr>
      <w:rFonts w:ascii="宋体" w:hAnsi="Times New Roman" w:eastAsia="宋体" w:cs="Times New Roman"/>
      <w:kern w:val="0"/>
      <w:sz w:val="18"/>
      <w:lang w:val="en-US" w:eastAsia="zh-CN" w:bidi="ar-SA"/>
    </w:rPr>
  </w:style>
  <w:style w:type="paragraph" w:customStyle="1" w:styleId="1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lang w:val="en-US" w:eastAsia="zh-CN" w:bidi="ar-SA"/>
    </w:rPr>
  </w:style>
  <w:style w:type="paragraph" w:customStyle="1" w:styleId="169">
    <w:name w:val="列项——（一级）"/>
    <w:qFormat/>
    <w:uiPriority w:val="0"/>
    <w:pPr>
      <w:widowControl w:val="0"/>
      <w:jc w:val="both"/>
    </w:pPr>
    <w:rPr>
      <w:rFonts w:ascii="宋体" w:hAnsi="Times New Roman" w:eastAsia="宋体" w:cs="Times New Roman"/>
      <w:kern w:val="0"/>
      <w:sz w:val="21"/>
      <w:lang w:val="en-US" w:eastAsia="zh-CN" w:bidi="ar-SA"/>
    </w:rPr>
  </w:style>
  <w:style w:type="character" w:customStyle="1" w:styleId="170">
    <w:name w:val="批注框文本 Char1"/>
    <w:basedOn w:val="46"/>
    <w:semiHidden/>
    <w:qFormat/>
    <w:uiPriority w:val="99"/>
    <w:rPr>
      <w:rFonts w:ascii="Times New Roman" w:hAnsi="Times New Roman" w:eastAsia="宋体" w:cs="Times New Roman"/>
      <w:sz w:val="18"/>
      <w:szCs w:val="18"/>
    </w:rPr>
  </w:style>
  <w:style w:type="character" w:customStyle="1" w:styleId="171">
    <w:name w:val="标题 3 Char1"/>
    <w:qFormat/>
    <w:uiPriority w:val="0"/>
    <w:rPr>
      <w:rFonts w:ascii="Times New Roman" w:hAnsi="Times New Roman"/>
      <w:b/>
      <w:bCs/>
      <w:kern w:val="2"/>
      <w:sz w:val="32"/>
      <w:szCs w:val="32"/>
    </w:rPr>
  </w:style>
  <w:style w:type="paragraph" w:customStyle="1" w:styleId="172">
    <w:name w:val="样式 宋体 四号 行距: 1.5 倍行距"/>
    <w:basedOn w:val="1"/>
    <w:qFormat/>
    <w:uiPriority w:val="0"/>
    <w:pPr>
      <w:numPr>
        <w:ilvl w:val="0"/>
        <w:numId w:val="13"/>
      </w:numPr>
      <w:spacing w:line="360" w:lineRule="auto"/>
    </w:pPr>
    <w:rPr>
      <w:rFonts w:ascii="宋体" w:hAnsi="宋体" w:cs="宋体"/>
      <w:sz w:val="28"/>
      <w:szCs w:val="20"/>
    </w:rPr>
  </w:style>
  <w:style w:type="table" w:customStyle="1" w:styleId="173">
    <w:name w:val="网格型1"/>
    <w:basedOn w:val="44"/>
    <w:qFormat/>
    <w:uiPriority w:val="0"/>
    <w:rPr>
      <w:kern w:val="0"/>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4">
    <w:name w:val="网格型11"/>
    <w:basedOn w:val="44"/>
    <w:qFormat/>
    <w:uiPriority w:val="59"/>
    <w:rPr>
      <w:rFonts w:ascii="Calibri" w:hAnsi="Calibri"/>
      <w:kern w:val="0"/>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5">
    <w:name w:val="一级标题"/>
    <w:basedOn w:val="2"/>
    <w:link w:val="176"/>
    <w:qFormat/>
    <w:uiPriority w:val="0"/>
    <w:pPr>
      <w:spacing w:before="340" w:after="330"/>
      <w:ind w:firstLine="643" w:firstLineChars="200"/>
    </w:pPr>
    <w:rPr>
      <w:rFonts w:eastAsia="黑体"/>
    </w:rPr>
  </w:style>
  <w:style w:type="character" w:customStyle="1" w:styleId="176">
    <w:name w:val="一级标题 Char"/>
    <w:link w:val="175"/>
    <w:qFormat/>
    <w:uiPriority w:val="0"/>
    <w:rPr>
      <w:rFonts w:eastAsia="黑体"/>
      <w:b/>
      <w:bCs/>
      <w:kern w:val="44"/>
      <w:sz w:val="32"/>
      <w:szCs w:val="44"/>
    </w:rPr>
  </w:style>
  <w:style w:type="paragraph" w:customStyle="1" w:styleId="177">
    <w:name w:val="二级标题"/>
    <w:basedOn w:val="1"/>
    <w:link w:val="178"/>
    <w:qFormat/>
    <w:uiPriority w:val="0"/>
    <w:pPr>
      <w:keepNext/>
      <w:keepLines/>
      <w:spacing w:before="260" w:after="260" w:line="415" w:lineRule="auto"/>
      <w:ind w:firstLine="200" w:firstLineChars="200"/>
      <w:jc w:val="left"/>
      <w:outlineLvl w:val="1"/>
    </w:pPr>
    <w:rPr>
      <w:rFonts w:ascii="Arial" w:hAnsi="Arial" w:eastAsia="黑体"/>
      <w:b/>
      <w:bCs/>
      <w:sz w:val="32"/>
      <w:szCs w:val="20"/>
    </w:rPr>
  </w:style>
  <w:style w:type="character" w:customStyle="1" w:styleId="178">
    <w:name w:val="二级标题 Char"/>
    <w:link w:val="177"/>
    <w:qFormat/>
    <w:uiPriority w:val="0"/>
    <w:rPr>
      <w:rFonts w:ascii="Arial" w:hAnsi="Arial" w:eastAsia="黑体"/>
      <w:b/>
      <w:bCs/>
      <w:sz w:val="32"/>
    </w:rPr>
  </w:style>
  <w:style w:type="paragraph" w:customStyle="1" w:styleId="179">
    <w:name w:val="三级标题"/>
    <w:basedOn w:val="1"/>
    <w:link w:val="180"/>
    <w:qFormat/>
    <w:uiPriority w:val="0"/>
    <w:pPr>
      <w:spacing w:line="360" w:lineRule="auto"/>
    </w:pPr>
    <w:rPr>
      <w:sz w:val="24"/>
    </w:rPr>
  </w:style>
  <w:style w:type="character" w:customStyle="1" w:styleId="180">
    <w:name w:val="三级标题 Char"/>
    <w:link w:val="179"/>
    <w:qFormat/>
    <w:uiPriority w:val="0"/>
    <w:rPr>
      <w:sz w:val="24"/>
      <w:szCs w:val="24"/>
    </w:rPr>
  </w:style>
  <w:style w:type="character" w:customStyle="1" w:styleId="181">
    <w:name w:val="正文文本缩进 2 Char1"/>
    <w:semiHidden/>
    <w:qFormat/>
    <w:uiPriority w:val="99"/>
    <w:rPr>
      <w:rFonts w:ascii="Times New Roman" w:hAnsi="Times New Roman"/>
      <w:sz w:val="24"/>
    </w:rPr>
  </w:style>
  <w:style w:type="character" w:customStyle="1" w:styleId="182">
    <w:name w:val="正文文本缩进 Char1"/>
    <w:semiHidden/>
    <w:qFormat/>
    <w:uiPriority w:val="99"/>
    <w:rPr>
      <w:rFonts w:ascii="Times New Roman" w:hAnsi="Times New Roman"/>
      <w:sz w:val="24"/>
    </w:rPr>
  </w:style>
  <w:style w:type="character" w:customStyle="1" w:styleId="183">
    <w:name w:val="日期 Char1"/>
    <w:semiHidden/>
    <w:qFormat/>
    <w:uiPriority w:val="99"/>
    <w:rPr>
      <w:rFonts w:ascii="Times New Roman" w:hAnsi="Times New Roman"/>
      <w:sz w:val="24"/>
    </w:rPr>
  </w:style>
  <w:style w:type="character" w:customStyle="1" w:styleId="184">
    <w:name w:val="正文文本缩进 3 Char1"/>
    <w:semiHidden/>
    <w:qFormat/>
    <w:uiPriority w:val="99"/>
    <w:rPr>
      <w:rFonts w:ascii="Times New Roman" w:hAnsi="Times New Roman"/>
      <w:sz w:val="16"/>
      <w:szCs w:val="16"/>
    </w:rPr>
  </w:style>
  <w:style w:type="character" w:customStyle="1" w:styleId="185">
    <w:name w:val="highlight1"/>
    <w:qFormat/>
    <w:uiPriority w:val="0"/>
    <w:rPr>
      <w:shd w:val="clear" w:color="auto" w:fill="FFFF00"/>
    </w:rPr>
  </w:style>
  <w:style w:type="paragraph" w:customStyle="1" w:styleId="186">
    <w:name w:val="Char1"/>
    <w:basedOn w:val="6"/>
    <w:qFormat/>
    <w:uiPriority w:val="0"/>
    <w:pPr>
      <w:keepLines/>
      <w:widowControl/>
      <w:tabs>
        <w:tab w:val="left" w:pos="1008"/>
      </w:tabs>
      <w:adjustRightInd/>
      <w:snapToGrid/>
      <w:spacing w:before="280" w:after="160" w:line="240" w:lineRule="exact"/>
      <w:ind w:left="1008" w:hanging="1008"/>
      <w:jc w:val="left"/>
    </w:pPr>
    <w:rPr>
      <w:rFonts w:ascii="Verdana" w:hAnsi="Verdana"/>
      <w:b w:val="0"/>
      <w:kern w:val="0"/>
      <w:sz w:val="20"/>
      <w:szCs w:val="20"/>
      <w:lang w:eastAsia="en-US"/>
    </w:rPr>
  </w:style>
  <w:style w:type="paragraph" w:customStyle="1" w:styleId="18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88">
    <w:name w:val="font5"/>
    <w:basedOn w:val="1"/>
    <w:qFormat/>
    <w:uiPriority w:val="0"/>
    <w:pPr>
      <w:widowControl/>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189">
    <w:name w:val="font6"/>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2"/>
      <w:szCs w:val="22"/>
    </w:rPr>
  </w:style>
  <w:style w:type="paragraph" w:customStyle="1" w:styleId="190">
    <w:name w:val="font7"/>
    <w:basedOn w:val="1"/>
    <w:qFormat/>
    <w:uiPriority w:val="0"/>
    <w:pPr>
      <w:widowControl/>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191">
    <w:name w:val="font8"/>
    <w:basedOn w:val="1"/>
    <w:qFormat/>
    <w:uiPriority w:val="0"/>
    <w:pPr>
      <w:widowControl/>
      <w:spacing w:before="100" w:beforeAutospacing="1" w:after="100" w:afterAutospacing="1" w:line="360" w:lineRule="auto"/>
      <w:ind w:firstLine="200" w:firstLineChars="200"/>
      <w:jc w:val="left"/>
    </w:pPr>
    <w:rPr>
      <w:rFonts w:ascii="宋体" w:hAnsi="宋体" w:cs="宋体"/>
      <w:b/>
      <w:bCs/>
      <w:kern w:val="0"/>
      <w:sz w:val="22"/>
      <w:szCs w:val="22"/>
    </w:rPr>
  </w:style>
  <w:style w:type="paragraph" w:customStyle="1" w:styleId="192">
    <w:name w:val="font9"/>
    <w:basedOn w:val="1"/>
    <w:qFormat/>
    <w:uiPriority w:val="0"/>
    <w:pPr>
      <w:widowControl/>
      <w:spacing w:before="100" w:beforeAutospacing="1" w:after="100" w:afterAutospacing="1" w:line="360" w:lineRule="auto"/>
      <w:ind w:firstLine="200" w:firstLineChars="200"/>
      <w:jc w:val="left"/>
    </w:pPr>
    <w:rPr>
      <w:kern w:val="0"/>
      <w:sz w:val="22"/>
      <w:szCs w:val="22"/>
    </w:rPr>
  </w:style>
  <w:style w:type="paragraph" w:customStyle="1" w:styleId="193">
    <w:name w:val="font10"/>
    <w:basedOn w:val="1"/>
    <w:qFormat/>
    <w:uiPriority w:val="0"/>
    <w:pPr>
      <w:widowControl/>
      <w:spacing w:before="100" w:beforeAutospacing="1" w:after="100" w:afterAutospacing="1" w:line="360" w:lineRule="auto"/>
      <w:ind w:firstLine="200" w:firstLineChars="200"/>
      <w:jc w:val="left"/>
    </w:pPr>
    <w:rPr>
      <w:b/>
      <w:bCs/>
      <w:kern w:val="0"/>
      <w:sz w:val="22"/>
      <w:szCs w:val="22"/>
    </w:rPr>
  </w:style>
  <w:style w:type="paragraph" w:customStyle="1" w:styleId="194">
    <w:name w:val="font11"/>
    <w:basedOn w:val="1"/>
    <w:qFormat/>
    <w:uiPriority w:val="0"/>
    <w:pPr>
      <w:widowControl/>
      <w:spacing w:before="100" w:beforeAutospacing="1" w:after="100" w:afterAutospacing="1" w:line="360" w:lineRule="auto"/>
      <w:ind w:firstLine="200" w:firstLineChars="200"/>
      <w:jc w:val="left"/>
    </w:pPr>
    <w:rPr>
      <w:b/>
      <w:bCs/>
      <w:kern w:val="0"/>
      <w:sz w:val="22"/>
      <w:szCs w:val="22"/>
    </w:rPr>
  </w:style>
  <w:style w:type="paragraph" w:customStyle="1" w:styleId="195">
    <w:name w:val="font12"/>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2"/>
      <w:szCs w:val="22"/>
    </w:rPr>
  </w:style>
  <w:style w:type="paragraph" w:customStyle="1" w:styleId="196">
    <w:name w:val="font13"/>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2"/>
      <w:szCs w:val="22"/>
    </w:rPr>
  </w:style>
  <w:style w:type="paragraph" w:customStyle="1" w:styleId="197">
    <w:name w:val="font14"/>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4"/>
      <w:szCs w:val="21"/>
    </w:rPr>
  </w:style>
  <w:style w:type="paragraph" w:customStyle="1" w:styleId="198">
    <w:name w:val="font15"/>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4"/>
      <w:szCs w:val="21"/>
    </w:rPr>
  </w:style>
  <w:style w:type="paragraph" w:customStyle="1" w:styleId="199">
    <w:name w:val="xl63"/>
    <w:basedOn w:val="1"/>
    <w:qFormat/>
    <w:uiPriority w:val="0"/>
    <w:pPr>
      <w:widowControl/>
      <w:spacing w:before="100" w:beforeAutospacing="1" w:after="100" w:afterAutospacing="1" w:line="360" w:lineRule="auto"/>
      <w:ind w:firstLine="200" w:firstLineChars="200"/>
      <w:jc w:val="left"/>
    </w:pPr>
    <w:rPr>
      <w:rFonts w:ascii="宋体" w:hAnsi="宋体" w:cs="宋体"/>
      <w:b/>
      <w:bCs/>
      <w:kern w:val="0"/>
      <w:sz w:val="24"/>
    </w:rPr>
  </w:style>
  <w:style w:type="paragraph" w:customStyle="1" w:styleId="20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cs="宋体"/>
      <w:kern w:val="0"/>
      <w:sz w:val="24"/>
    </w:rPr>
  </w:style>
  <w:style w:type="paragraph" w:customStyle="1" w:styleId="20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cs="宋体"/>
      <w:kern w:val="0"/>
      <w:sz w:val="24"/>
    </w:rPr>
  </w:style>
  <w:style w:type="paragraph" w:customStyle="1" w:styleId="202">
    <w:name w:val="xl66"/>
    <w:basedOn w:val="1"/>
    <w:qFormat/>
    <w:uiPriority w:val="0"/>
    <w:pPr>
      <w:widowControl/>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03">
    <w:name w:val="xl67"/>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2"/>
      <w:szCs w:val="22"/>
    </w:rPr>
  </w:style>
  <w:style w:type="paragraph" w:customStyle="1" w:styleId="204">
    <w:name w:val="xl68"/>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2"/>
      <w:szCs w:val="22"/>
    </w:rPr>
  </w:style>
  <w:style w:type="paragraph" w:customStyle="1" w:styleId="205">
    <w:name w:val="xl69"/>
    <w:basedOn w:val="1"/>
    <w:qFormat/>
    <w:uiPriority w:val="0"/>
    <w:pPr>
      <w:widowControl/>
      <w:spacing w:before="100" w:beforeAutospacing="1" w:after="100" w:afterAutospacing="1" w:line="360" w:lineRule="auto"/>
      <w:ind w:firstLine="200" w:firstLineChars="200"/>
      <w:jc w:val="left"/>
    </w:pPr>
    <w:rPr>
      <w:rFonts w:ascii="宋体" w:hAnsi="宋体" w:cs="宋体"/>
      <w:kern w:val="0"/>
      <w:sz w:val="24"/>
    </w:rPr>
  </w:style>
  <w:style w:type="paragraph" w:customStyle="1" w:styleId="206">
    <w:name w:val="xl70"/>
    <w:basedOn w:val="1"/>
    <w:qFormat/>
    <w:uiPriority w:val="0"/>
    <w:pPr>
      <w:widowControl/>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07">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99FF66"/>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08">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33CCFF"/>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0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1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left"/>
    </w:pPr>
    <w:rPr>
      <w:rFonts w:ascii="宋体" w:hAnsi="宋体" w:cs="宋体"/>
      <w:kern w:val="0"/>
      <w:sz w:val="22"/>
      <w:szCs w:val="22"/>
    </w:rPr>
  </w:style>
  <w:style w:type="paragraph" w:customStyle="1" w:styleId="211">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left"/>
    </w:pPr>
    <w:rPr>
      <w:rFonts w:ascii="宋体" w:hAnsi="宋体" w:cs="宋体"/>
      <w:kern w:val="0"/>
      <w:sz w:val="22"/>
      <w:szCs w:val="22"/>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1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cs="宋体"/>
      <w:b/>
      <w:bCs/>
      <w:kern w:val="0"/>
      <w:sz w:val="24"/>
    </w:rPr>
  </w:style>
  <w:style w:type="paragraph" w:customStyle="1" w:styleId="214">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b/>
      <w:bCs/>
      <w:kern w:val="0"/>
      <w:sz w:val="24"/>
    </w:rPr>
  </w:style>
  <w:style w:type="paragraph" w:customStyle="1" w:styleId="21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b/>
      <w:bCs/>
      <w:kern w:val="0"/>
      <w:sz w:val="24"/>
    </w:rPr>
  </w:style>
  <w:style w:type="paragraph" w:customStyle="1" w:styleId="216">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3399"/>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17">
    <w:name w:val="xl8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18">
    <w:name w:val="xl82"/>
    <w:basedOn w:val="1"/>
    <w:qFormat/>
    <w:uiPriority w:val="0"/>
    <w:pPr>
      <w:widowControl/>
      <w:pBdr>
        <w:left w:val="single" w:color="auto" w:sz="4" w:space="0"/>
        <w:bottom w:val="single" w:color="auto" w:sz="4" w:space="0"/>
        <w:right w:val="single" w:color="auto" w:sz="4" w:space="0"/>
      </w:pBdr>
      <w:shd w:val="clear" w:color="000000" w:fill="FF3399"/>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2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b/>
      <w:bCs/>
      <w:kern w:val="0"/>
      <w:sz w:val="24"/>
    </w:rPr>
  </w:style>
  <w:style w:type="paragraph" w:customStyle="1" w:styleId="22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22">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66"/>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2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9966"/>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24">
    <w:name w:val="xl88"/>
    <w:basedOn w:val="1"/>
    <w:qFormat/>
    <w:uiPriority w:val="0"/>
    <w:pPr>
      <w:widowControl/>
      <w:pBdr>
        <w:top w:val="single" w:color="auto" w:sz="4" w:space="0"/>
        <w:left w:val="single" w:color="auto" w:sz="4" w:space="0"/>
        <w:right w:val="single" w:color="auto" w:sz="4" w:space="0"/>
      </w:pBdr>
      <w:shd w:val="clear" w:color="000000" w:fill="FF3399"/>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25">
    <w:name w:val="xl89"/>
    <w:basedOn w:val="1"/>
    <w:qFormat/>
    <w:uiPriority w:val="0"/>
    <w:pPr>
      <w:widowControl/>
      <w:pBdr>
        <w:top w:val="single" w:color="auto" w:sz="4" w:space="0"/>
        <w:left w:val="single" w:color="auto" w:sz="4" w:space="0"/>
        <w:right w:val="single" w:color="auto" w:sz="4" w:space="0"/>
      </w:pBdr>
      <w:shd w:val="clear" w:color="000000" w:fill="FF3399"/>
      <w:spacing w:before="100" w:beforeAutospacing="1" w:after="100" w:afterAutospacing="1" w:line="360" w:lineRule="auto"/>
      <w:ind w:firstLine="200" w:firstLineChars="200"/>
      <w:jc w:val="left"/>
    </w:pPr>
    <w:rPr>
      <w:rFonts w:ascii="宋体" w:hAnsi="宋体" w:cs="宋体"/>
      <w:kern w:val="0"/>
      <w:sz w:val="24"/>
    </w:rPr>
  </w:style>
  <w:style w:type="paragraph" w:customStyle="1" w:styleId="226">
    <w:name w:val="xl90"/>
    <w:basedOn w:val="1"/>
    <w:qFormat/>
    <w:uiPriority w:val="0"/>
    <w:pPr>
      <w:widowControl/>
      <w:pBdr>
        <w:left w:val="single" w:color="auto" w:sz="4" w:space="0"/>
        <w:bottom w:val="single" w:color="auto" w:sz="4" w:space="0"/>
        <w:right w:val="single" w:color="auto" w:sz="4" w:space="0"/>
      </w:pBdr>
      <w:shd w:val="clear" w:color="000000" w:fill="FF3399"/>
      <w:spacing w:before="100" w:beforeAutospacing="1" w:after="100" w:afterAutospacing="1" w:line="360" w:lineRule="auto"/>
      <w:ind w:firstLine="200" w:firstLineChars="200"/>
      <w:jc w:val="left"/>
    </w:pPr>
    <w:rPr>
      <w:rFonts w:ascii="宋体" w:hAnsi="宋体" w:cs="宋体"/>
      <w:kern w:val="0"/>
      <w:sz w:val="24"/>
    </w:rPr>
  </w:style>
  <w:style w:type="paragraph" w:customStyle="1" w:styleId="227">
    <w:name w:val="xl91"/>
    <w:basedOn w:val="1"/>
    <w:qFormat/>
    <w:uiPriority w:val="0"/>
    <w:pPr>
      <w:widowControl/>
      <w:pBdr>
        <w:top w:val="single" w:color="auto" w:sz="4" w:space="0"/>
        <w:left w:val="single" w:color="auto" w:sz="4" w:space="0"/>
        <w:right w:val="single" w:color="auto" w:sz="4" w:space="0"/>
      </w:pBdr>
      <w:shd w:val="clear" w:color="000000" w:fill="9999FF"/>
      <w:spacing w:before="100" w:beforeAutospacing="1" w:after="100" w:afterAutospacing="1" w:line="360" w:lineRule="auto"/>
      <w:ind w:firstLine="200" w:firstLineChars="200"/>
      <w:jc w:val="left"/>
    </w:pPr>
    <w:rPr>
      <w:rFonts w:ascii="宋体" w:hAnsi="宋体" w:cs="宋体"/>
      <w:kern w:val="0"/>
      <w:sz w:val="24"/>
    </w:rPr>
  </w:style>
  <w:style w:type="paragraph" w:customStyle="1" w:styleId="228">
    <w:name w:val="xl92"/>
    <w:basedOn w:val="1"/>
    <w:qFormat/>
    <w:uiPriority w:val="0"/>
    <w:pPr>
      <w:widowControl/>
      <w:pBdr>
        <w:left w:val="single" w:color="auto" w:sz="4" w:space="0"/>
        <w:bottom w:val="single" w:color="auto" w:sz="4" w:space="0"/>
        <w:right w:val="single" w:color="auto" w:sz="4" w:space="0"/>
      </w:pBdr>
      <w:shd w:val="clear" w:color="000000" w:fill="9999FF"/>
      <w:spacing w:before="100" w:beforeAutospacing="1" w:after="100" w:afterAutospacing="1" w:line="360" w:lineRule="auto"/>
      <w:ind w:firstLine="200" w:firstLineChars="200"/>
      <w:jc w:val="left"/>
    </w:pPr>
    <w:rPr>
      <w:rFonts w:ascii="宋体" w:hAnsi="宋体" w:cs="宋体"/>
      <w:kern w:val="0"/>
      <w:sz w:val="24"/>
    </w:rPr>
  </w:style>
  <w:style w:type="paragraph" w:customStyle="1" w:styleId="229">
    <w:name w:val="xl93"/>
    <w:basedOn w:val="1"/>
    <w:qFormat/>
    <w:uiPriority w:val="0"/>
    <w:pPr>
      <w:widowControl/>
      <w:pBdr>
        <w:left w:val="single" w:color="auto" w:sz="4" w:space="0"/>
        <w:right w:val="single" w:color="auto" w:sz="4" w:space="0"/>
      </w:pBdr>
      <w:shd w:val="clear" w:color="000000" w:fill="FF3399"/>
      <w:spacing w:before="100" w:beforeAutospacing="1" w:after="100" w:afterAutospacing="1" w:line="360" w:lineRule="auto"/>
      <w:ind w:firstLine="200" w:firstLineChars="200"/>
      <w:jc w:val="left"/>
    </w:pPr>
    <w:rPr>
      <w:rFonts w:ascii="宋体" w:hAnsi="宋体" w:cs="宋体"/>
      <w:kern w:val="0"/>
      <w:sz w:val="24"/>
    </w:rPr>
  </w:style>
  <w:style w:type="paragraph" w:customStyle="1" w:styleId="230">
    <w:name w:val="xl94"/>
    <w:basedOn w:val="1"/>
    <w:qFormat/>
    <w:uiPriority w:val="0"/>
    <w:pPr>
      <w:widowControl/>
      <w:pBdr>
        <w:top w:val="single" w:color="auto" w:sz="4" w:space="0"/>
        <w:left w:val="single" w:color="auto" w:sz="4" w:space="0"/>
        <w:right w:val="single" w:color="auto" w:sz="4" w:space="0"/>
      </w:pBdr>
      <w:shd w:val="clear" w:color="000000" w:fill="FF3399"/>
      <w:spacing w:before="100" w:beforeAutospacing="1" w:after="100" w:afterAutospacing="1" w:line="360" w:lineRule="auto"/>
      <w:ind w:firstLine="200" w:firstLineChars="200"/>
      <w:jc w:val="left"/>
    </w:pPr>
    <w:rPr>
      <w:rFonts w:ascii="宋体" w:hAnsi="宋体" w:cs="宋体"/>
      <w:kern w:val="0"/>
      <w:sz w:val="24"/>
    </w:rPr>
  </w:style>
  <w:style w:type="paragraph" w:customStyle="1" w:styleId="231">
    <w:name w:val="xl95"/>
    <w:basedOn w:val="1"/>
    <w:qFormat/>
    <w:uiPriority w:val="0"/>
    <w:pPr>
      <w:widowControl/>
      <w:pBdr>
        <w:left w:val="single" w:color="auto" w:sz="4" w:space="0"/>
        <w:right w:val="single" w:color="auto" w:sz="4" w:space="0"/>
      </w:pBdr>
      <w:shd w:val="clear" w:color="000000" w:fill="FF3399"/>
      <w:spacing w:before="100" w:beforeAutospacing="1" w:after="100" w:afterAutospacing="1" w:line="360" w:lineRule="auto"/>
      <w:ind w:firstLine="200" w:firstLineChars="200"/>
      <w:jc w:val="left"/>
    </w:pPr>
    <w:rPr>
      <w:rFonts w:ascii="宋体" w:hAnsi="宋体" w:cs="宋体"/>
      <w:kern w:val="0"/>
      <w:sz w:val="24"/>
    </w:rPr>
  </w:style>
  <w:style w:type="paragraph" w:customStyle="1" w:styleId="232">
    <w:name w:val="xl96"/>
    <w:basedOn w:val="1"/>
    <w:qFormat/>
    <w:uiPriority w:val="0"/>
    <w:pPr>
      <w:widowControl/>
      <w:pBdr>
        <w:left w:val="single" w:color="auto" w:sz="4" w:space="0"/>
        <w:bottom w:val="single" w:color="auto" w:sz="4" w:space="0"/>
        <w:right w:val="single" w:color="auto" w:sz="4" w:space="0"/>
      </w:pBdr>
      <w:shd w:val="clear" w:color="000000" w:fill="FF3399"/>
      <w:spacing w:before="100" w:beforeAutospacing="1" w:after="100" w:afterAutospacing="1" w:line="360" w:lineRule="auto"/>
      <w:ind w:firstLine="200" w:firstLineChars="200"/>
      <w:jc w:val="left"/>
    </w:pPr>
    <w:rPr>
      <w:rFonts w:ascii="宋体" w:hAnsi="宋体" w:cs="宋体"/>
      <w:kern w:val="0"/>
      <w:sz w:val="24"/>
    </w:rPr>
  </w:style>
  <w:style w:type="paragraph" w:customStyle="1" w:styleId="233">
    <w:name w:val="xl97"/>
    <w:basedOn w:val="1"/>
    <w:qFormat/>
    <w:uiPriority w:val="0"/>
    <w:pPr>
      <w:widowControl/>
      <w:pBdr>
        <w:top w:val="single" w:color="auto" w:sz="4" w:space="0"/>
        <w:left w:val="single" w:color="auto" w:sz="4" w:space="0"/>
        <w:right w:val="single" w:color="auto" w:sz="4" w:space="0"/>
      </w:pBdr>
      <w:shd w:val="clear" w:color="000000" w:fill="33CCFF"/>
      <w:spacing w:before="100" w:beforeAutospacing="1" w:after="100" w:afterAutospacing="1" w:line="360" w:lineRule="auto"/>
      <w:ind w:firstLine="200" w:firstLineChars="200"/>
      <w:jc w:val="left"/>
    </w:pPr>
    <w:rPr>
      <w:rFonts w:ascii="宋体" w:hAnsi="宋体" w:cs="宋体"/>
      <w:kern w:val="0"/>
      <w:sz w:val="24"/>
    </w:rPr>
  </w:style>
  <w:style w:type="paragraph" w:customStyle="1" w:styleId="234">
    <w:name w:val="xl98"/>
    <w:basedOn w:val="1"/>
    <w:qFormat/>
    <w:uiPriority w:val="0"/>
    <w:pPr>
      <w:widowControl/>
      <w:pBdr>
        <w:left w:val="single" w:color="auto" w:sz="4" w:space="0"/>
        <w:right w:val="single" w:color="auto" w:sz="4" w:space="0"/>
      </w:pBdr>
      <w:shd w:val="clear" w:color="000000" w:fill="33CCFF"/>
      <w:spacing w:before="100" w:beforeAutospacing="1" w:after="100" w:afterAutospacing="1" w:line="360" w:lineRule="auto"/>
      <w:ind w:firstLine="200" w:firstLineChars="200"/>
      <w:jc w:val="left"/>
    </w:pPr>
    <w:rPr>
      <w:rFonts w:ascii="宋体" w:hAnsi="宋体" w:cs="宋体"/>
      <w:kern w:val="0"/>
      <w:sz w:val="24"/>
    </w:rPr>
  </w:style>
  <w:style w:type="paragraph" w:customStyle="1" w:styleId="235">
    <w:name w:val="xl99"/>
    <w:basedOn w:val="1"/>
    <w:qFormat/>
    <w:uiPriority w:val="0"/>
    <w:pPr>
      <w:widowControl/>
      <w:pBdr>
        <w:left w:val="single" w:color="auto" w:sz="4" w:space="0"/>
        <w:bottom w:val="single" w:color="auto" w:sz="4" w:space="0"/>
        <w:right w:val="single" w:color="auto" w:sz="4" w:space="0"/>
      </w:pBdr>
      <w:shd w:val="clear" w:color="000000" w:fill="33CCFF"/>
      <w:spacing w:before="100" w:beforeAutospacing="1" w:after="100" w:afterAutospacing="1" w:line="360" w:lineRule="auto"/>
      <w:ind w:firstLine="200" w:firstLineChars="200"/>
      <w:jc w:val="left"/>
    </w:pPr>
    <w:rPr>
      <w:rFonts w:ascii="宋体" w:hAnsi="宋体" w:cs="宋体"/>
      <w:kern w:val="0"/>
      <w:sz w:val="24"/>
    </w:rPr>
  </w:style>
  <w:style w:type="paragraph" w:customStyle="1" w:styleId="236">
    <w:name w:val="xl100"/>
    <w:basedOn w:val="1"/>
    <w:qFormat/>
    <w:uiPriority w:val="0"/>
    <w:pPr>
      <w:widowControl/>
      <w:pBdr>
        <w:top w:val="single" w:color="auto" w:sz="4" w:space="0"/>
        <w:left w:val="single" w:color="auto" w:sz="4" w:space="0"/>
        <w:right w:val="single" w:color="auto" w:sz="4" w:space="0"/>
      </w:pBdr>
      <w:shd w:val="clear" w:color="000000" w:fill="FFFF66"/>
      <w:spacing w:before="100" w:beforeAutospacing="1" w:after="100" w:afterAutospacing="1" w:line="360" w:lineRule="auto"/>
      <w:ind w:firstLine="200" w:firstLineChars="200"/>
      <w:jc w:val="left"/>
    </w:pPr>
    <w:rPr>
      <w:rFonts w:ascii="宋体" w:hAnsi="宋体" w:cs="宋体"/>
      <w:kern w:val="0"/>
      <w:sz w:val="24"/>
    </w:rPr>
  </w:style>
  <w:style w:type="paragraph" w:customStyle="1" w:styleId="237">
    <w:name w:val="xl101"/>
    <w:basedOn w:val="1"/>
    <w:qFormat/>
    <w:uiPriority w:val="0"/>
    <w:pPr>
      <w:widowControl/>
      <w:pBdr>
        <w:left w:val="single" w:color="auto" w:sz="4" w:space="0"/>
        <w:bottom w:val="single" w:color="auto" w:sz="4" w:space="0"/>
        <w:right w:val="single" w:color="auto" w:sz="4" w:space="0"/>
      </w:pBdr>
      <w:shd w:val="clear" w:color="000000" w:fill="FFFF66"/>
      <w:spacing w:before="100" w:beforeAutospacing="1" w:after="100" w:afterAutospacing="1" w:line="360" w:lineRule="auto"/>
      <w:ind w:firstLine="200" w:firstLineChars="200"/>
      <w:jc w:val="left"/>
    </w:pPr>
    <w:rPr>
      <w:rFonts w:ascii="宋体" w:hAnsi="宋体" w:cs="宋体"/>
      <w:kern w:val="0"/>
      <w:sz w:val="24"/>
    </w:rPr>
  </w:style>
  <w:style w:type="paragraph" w:customStyle="1" w:styleId="238">
    <w:name w:val="xl102"/>
    <w:basedOn w:val="1"/>
    <w:qFormat/>
    <w:uiPriority w:val="0"/>
    <w:pPr>
      <w:widowControl/>
      <w:pBdr>
        <w:top w:val="single" w:color="auto" w:sz="4" w:space="0"/>
        <w:left w:val="single" w:color="auto" w:sz="4" w:space="0"/>
        <w:right w:val="single" w:color="auto" w:sz="4" w:space="0"/>
      </w:pBdr>
      <w:shd w:val="clear" w:color="000000" w:fill="99FF66"/>
      <w:spacing w:before="100" w:beforeAutospacing="1" w:after="100" w:afterAutospacing="1" w:line="360" w:lineRule="auto"/>
      <w:ind w:firstLine="200" w:firstLineChars="200"/>
      <w:jc w:val="left"/>
    </w:pPr>
    <w:rPr>
      <w:rFonts w:ascii="宋体" w:hAnsi="宋体" w:cs="宋体"/>
      <w:kern w:val="0"/>
      <w:sz w:val="24"/>
    </w:rPr>
  </w:style>
  <w:style w:type="paragraph" w:customStyle="1" w:styleId="239">
    <w:name w:val="xl103"/>
    <w:basedOn w:val="1"/>
    <w:qFormat/>
    <w:uiPriority w:val="0"/>
    <w:pPr>
      <w:widowControl/>
      <w:pBdr>
        <w:left w:val="single" w:color="auto" w:sz="4" w:space="0"/>
        <w:right w:val="single" w:color="auto" w:sz="4" w:space="0"/>
      </w:pBdr>
      <w:shd w:val="clear" w:color="000000" w:fill="99FF66"/>
      <w:spacing w:before="100" w:beforeAutospacing="1" w:after="100" w:afterAutospacing="1" w:line="360" w:lineRule="auto"/>
      <w:ind w:firstLine="200" w:firstLineChars="200"/>
      <w:jc w:val="left"/>
    </w:pPr>
    <w:rPr>
      <w:rFonts w:ascii="宋体" w:hAnsi="宋体" w:cs="宋体"/>
      <w:kern w:val="0"/>
      <w:sz w:val="24"/>
    </w:rPr>
  </w:style>
  <w:style w:type="paragraph" w:customStyle="1" w:styleId="240">
    <w:name w:val="xl104"/>
    <w:basedOn w:val="1"/>
    <w:qFormat/>
    <w:uiPriority w:val="0"/>
    <w:pPr>
      <w:widowControl/>
      <w:pBdr>
        <w:left w:val="single" w:color="auto" w:sz="4" w:space="0"/>
        <w:bottom w:val="single" w:color="auto" w:sz="4" w:space="0"/>
        <w:right w:val="single" w:color="auto" w:sz="4" w:space="0"/>
      </w:pBdr>
      <w:shd w:val="clear" w:color="000000" w:fill="99FF66"/>
      <w:spacing w:before="100" w:beforeAutospacing="1" w:after="100" w:afterAutospacing="1" w:line="360" w:lineRule="auto"/>
      <w:ind w:firstLine="200" w:firstLineChars="200"/>
      <w:jc w:val="left"/>
    </w:pPr>
    <w:rPr>
      <w:rFonts w:ascii="宋体" w:hAnsi="宋体" w:cs="宋体"/>
      <w:kern w:val="0"/>
      <w:sz w:val="24"/>
    </w:rPr>
  </w:style>
  <w:style w:type="paragraph" w:customStyle="1" w:styleId="24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cs="宋体"/>
      <w:b/>
      <w:bCs/>
      <w:kern w:val="0"/>
      <w:sz w:val="24"/>
    </w:rPr>
  </w:style>
  <w:style w:type="paragraph" w:customStyle="1" w:styleId="242">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cs="宋体"/>
      <w:kern w:val="0"/>
      <w:sz w:val="24"/>
    </w:rPr>
  </w:style>
  <w:style w:type="paragraph" w:customStyle="1" w:styleId="243">
    <w:name w:val="xl10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b/>
      <w:bCs/>
      <w:kern w:val="0"/>
      <w:sz w:val="24"/>
    </w:rPr>
  </w:style>
  <w:style w:type="paragraph" w:customStyle="1" w:styleId="244">
    <w:name w:val="xl108"/>
    <w:basedOn w:val="1"/>
    <w:qFormat/>
    <w:uiPriority w:val="0"/>
    <w:pPr>
      <w:widowControl/>
      <w:pBdr>
        <w:top w:val="single" w:color="auto" w:sz="4" w:space="0"/>
        <w:bottom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b/>
      <w:bCs/>
      <w:kern w:val="0"/>
      <w:sz w:val="24"/>
    </w:rPr>
  </w:style>
  <w:style w:type="paragraph" w:customStyle="1" w:styleId="245">
    <w:name w:val="xl10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b/>
      <w:bCs/>
      <w:kern w:val="0"/>
      <w:sz w:val="24"/>
    </w:rPr>
  </w:style>
  <w:style w:type="paragraph" w:customStyle="1" w:styleId="246">
    <w:name w:val="xl1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47">
    <w:name w:val="xl111"/>
    <w:basedOn w:val="1"/>
    <w:qFormat/>
    <w:uiPriority w:val="0"/>
    <w:pPr>
      <w:widowControl/>
      <w:pBdr>
        <w:top w:val="single" w:color="auto" w:sz="4" w:space="0"/>
        <w:bottom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48">
    <w:name w:val="xl1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49">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50">
    <w:name w:val="xl11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360" w:lineRule="auto"/>
      <w:ind w:firstLine="200" w:firstLineChars="200"/>
      <w:jc w:val="left"/>
    </w:pPr>
    <w:rPr>
      <w:rFonts w:ascii="宋体" w:hAnsi="宋体" w:cs="宋体"/>
      <w:kern w:val="0"/>
      <w:sz w:val="22"/>
      <w:szCs w:val="22"/>
    </w:rPr>
  </w:style>
  <w:style w:type="paragraph" w:customStyle="1" w:styleId="251">
    <w:name w:val="xl11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left"/>
    </w:pPr>
    <w:rPr>
      <w:rFonts w:ascii="宋体" w:hAnsi="宋体" w:cs="宋体"/>
      <w:kern w:val="0"/>
      <w:sz w:val="22"/>
      <w:szCs w:val="22"/>
    </w:rPr>
  </w:style>
  <w:style w:type="paragraph" w:customStyle="1" w:styleId="252">
    <w:name w:val="xl116"/>
    <w:basedOn w:val="1"/>
    <w:qFormat/>
    <w:uiPriority w:val="0"/>
    <w:pPr>
      <w:widowControl/>
      <w:pBdr>
        <w:left w:val="single" w:color="auto" w:sz="4" w:space="0"/>
        <w:right w:val="single" w:color="auto" w:sz="4" w:space="0"/>
      </w:pBdr>
      <w:shd w:val="clear" w:color="000000" w:fill="FFFFFF"/>
      <w:spacing w:before="100" w:beforeAutospacing="1" w:after="100" w:afterAutospacing="1" w:line="360" w:lineRule="auto"/>
      <w:ind w:firstLine="200" w:firstLineChars="200"/>
      <w:jc w:val="left"/>
    </w:pPr>
    <w:rPr>
      <w:rFonts w:ascii="宋体" w:hAnsi="宋体" w:cs="宋体"/>
      <w:kern w:val="0"/>
      <w:sz w:val="22"/>
      <w:szCs w:val="22"/>
    </w:rPr>
  </w:style>
  <w:style w:type="paragraph" w:customStyle="1" w:styleId="253">
    <w:name w:val="xl117"/>
    <w:basedOn w:val="1"/>
    <w:qFormat/>
    <w:uiPriority w:val="0"/>
    <w:pPr>
      <w:widowControl/>
      <w:pBdr>
        <w:left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54">
    <w:name w:val="xl11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55">
    <w:name w:val="xl119"/>
    <w:basedOn w:val="1"/>
    <w:qFormat/>
    <w:uiPriority w:val="0"/>
    <w:pPr>
      <w:widowControl/>
      <w:pBdr>
        <w:left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56">
    <w:name w:val="xl12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360" w:lineRule="auto"/>
      <w:ind w:firstLine="200" w:firstLineChars="200"/>
      <w:jc w:val="center"/>
    </w:pPr>
    <w:rPr>
      <w:rFonts w:ascii="宋体" w:hAnsi="宋体" w:cs="宋体"/>
      <w:kern w:val="0"/>
      <w:sz w:val="24"/>
    </w:rPr>
  </w:style>
  <w:style w:type="paragraph" w:customStyle="1" w:styleId="257">
    <w:name w:val="样式 标题 2节标题 1.1 + 首行缩进:  2 字符"/>
    <w:basedOn w:val="3"/>
    <w:link w:val="259"/>
    <w:qFormat/>
    <w:uiPriority w:val="0"/>
    <w:pPr>
      <w:spacing w:before="260" w:after="260" w:line="416" w:lineRule="auto"/>
    </w:pPr>
    <w:rPr>
      <w:rFonts w:eastAsia="黑体" w:cs="宋体"/>
      <w:spacing w:val="-4"/>
      <w:sz w:val="32"/>
      <w:szCs w:val="24"/>
    </w:rPr>
  </w:style>
  <w:style w:type="paragraph" w:customStyle="1" w:styleId="258">
    <w:name w:val="标题2"/>
    <w:basedOn w:val="257"/>
    <w:link w:val="260"/>
    <w:qFormat/>
    <w:uiPriority w:val="0"/>
    <w:pPr>
      <w:spacing w:line="415" w:lineRule="auto"/>
      <w:jc w:val="left"/>
    </w:pPr>
  </w:style>
  <w:style w:type="character" w:customStyle="1" w:styleId="259">
    <w:name w:val="样式 标题 2节标题 1.1 + 首行缩进:  2 字符 Char"/>
    <w:link w:val="257"/>
    <w:qFormat/>
    <w:uiPriority w:val="0"/>
    <w:rPr>
      <w:rFonts w:ascii="Arial" w:hAnsi="Arial" w:eastAsia="黑体" w:cs="宋体"/>
      <w:b/>
      <w:bCs/>
      <w:spacing w:val="-4"/>
      <w:sz w:val="32"/>
      <w:szCs w:val="24"/>
    </w:rPr>
  </w:style>
  <w:style w:type="character" w:customStyle="1" w:styleId="260">
    <w:name w:val="标题2 Char"/>
    <w:basedOn w:val="259"/>
    <w:link w:val="258"/>
    <w:qFormat/>
    <w:uiPriority w:val="0"/>
    <w:rPr>
      <w:rFonts w:ascii="Arial" w:hAnsi="Arial" w:eastAsia="黑体" w:cs="宋体"/>
      <w:spacing w:val="-4"/>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2048</Words>
  <Characters>11679</Characters>
  <Lines>97</Lines>
  <Paragraphs>27</Paragraphs>
  <TotalTime>98</TotalTime>
  <ScaleCrop>false</ScaleCrop>
  <LinksUpToDate>false</LinksUpToDate>
  <CharactersWithSpaces>13700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2022-01-18T22:27:00Z</dcterms:created>
  <dc:creator>颜晓强</dc:creator>
  <cp:lastModifiedBy>user</cp:lastModifiedBy>
  <dcterms:modified xsi:type="dcterms:W3CDTF">2022-09-26T17:22:53Z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