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375" w:afterAutospacing="0" w:line="360" w:lineRule="auto"/>
        <w:rPr>
          <w:rFonts w:hint="default" w:ascii="仿宋" w:hAnsi="仿宋" w:eastAsia="仿宋" w:cs="仿宋"/>
          <w:b/>
          <w:sz w:val="32"/>
          <w:szCs w:val="32"/>
        </w:rPr>
      </w:pPr>
      <w:bookmarkStart w:id="0" w:name="_GoBack"/>
      <w:r>
        <w:rPr>
          <w:rFonts w:ascii="仿宋" w:hAnsi="仿宋" w:eastAsia="仿宋" w:cs="仿宋"/>
          <w:kern w:val="2"/>
          <w:sz w:val="32"/>
          <w:szCs w:val="32"/>
        </w:rPr>
        <w:t>附件1：全过程工程咨询综合评估法</w:t>
      </w:r>
      <w:bookmarkEnd w:id="0"/>
    </w:p>
    <w:p>
      <w:pPr>
        <w:pStyle w:val="2"/>
        <w:shd w:val="clear" w:color="auto" w:fill="FFFFFF"/>
        <w:spacing w:beforeAutospacing="0" w:after="375" w:afterAutospacing="0" w:line="360" w:lineRule="auto"/>
        <w:ind w:firstLine="964" w:firstLineChars="300"/>
        <w:jc w:val="center"/>
        <w:rPr>
          <w:rFonts w:hint="default" w:cs="宋体"/>
          <w:b/>
          <w:sz w:val="28"/>
          <w:szCs w:val="28"/>
        </w:rPr>
      </w:pPr>
      <w:r>
        <w:rPr>
          <w:rFonts w:cs="宋体"/>
          <w:b/>
          <w:sz w:val="32"/>
          <w:szCs w:val="32"/>
        </w:rPr>
        <w:t>全过程工程咨询综合评估法（适用于资格后审项目）</w:t>
      </w:r>
    </w:p>
    <w:p>
      <w:pPr>
        <w:spacing w:line="480" w:lineRule="exact"/>
        <w:ind w:firstLine="643" w:firstLineChars="200"/>
        <w:rPr>
          <w:rFonts w:ascii="仿宋" w:hAnsi="仿宋" w:eastAsia="仿宋"/>
          <w:szCs w:val="32"/>
        </w:rPr>
      </w:pPr>
      <w:r>
        <w:rPr>
          <w:rFonts w:hint="eastAsia" w:ascii="仿宋" w:hAnsi="仿宋" w:eastAsia="仿宋" w:cs="宋体"/>
          <w:b/>
        </w:rPr>
        <w:t>全过程工程咨询服务</w:t>
      </w:r>
      <w:r>
        <w:rPr>
          <w:rFonts w:hint="eastAsia" w:ascii="仿宋" w:hAnsi="仿宋" w:eastAsia="仿宋"/>
          <w:szCs w:val="32"/>
        </w:rPr>
        <w:t>是指对建设项目全生命周期提供组织、管理、经济和技术等各有关方面的工程咨询服务，包括投资决策综合性咨询和工程建设全过程咨询服务。本评标办法适用于工程建设全过程咨询服务招标。</w:t>
      </w:r>
    </w:p>
    <w:p>
      <w:pPr>
        <w:spacing w:line="480" w:lineRule="exact"/>
        <w:ind w:firstLine="640" w:firstLineChars="200"/>
        <w:rPr>
          <w:rFonts w:ascii="仿宋" w:hAnsi="仿宋" w:eastAsia="仿宋"/>
          <w:szCs w:val="32"/>
        </w:rPr>
      </w:pPr>
      <w:r>
        <w:rPr>
          <w:rFonts w:hint="eastAsia" w:ascii="仿宋" w:hAnsi="仿宋" w:eastAsia="仿宋"/>
          <w:szCs w:val="32"/>
        </w:rPr>
        <w:t>招标人应委托一家具有综合能力的工程咨询单位实施全过程咨询服务，也可委托多家具有招标代理、勘察、设计、监理、造价、项目管理等不同能力的单位联合实施全过程咨询服务</w:t>
      </w:r>
      <w:r>
        <w:rPr>
          <w:rFonts w:ascii="仿宋" w:hAnsi="仿宋" w:eastAsia="仿宋"/>
          <w:szCs w:val="32"/>
        </w:rPr>
        <w:t>。</w:t>
      </w:r>
      <w:r>
        <w:rPr>
          <w:rFonts w:hint="eastAsia" w:ascii="仿宋" w:hAnsi="仿宋" w:eastAsia="仿宋"/>
          <w:szCs w:val="32"/>
        </w:rPr>
        <w:t>评标委员会</w:t>
      </w:r>
      <w:r>
        <w:rPr>
          <w:rFonts w:ascii="仿宋" w:hAnsi="仿宋" w:eastAsia="仿宋"/>
          <w:szCs w:val="32"/>
        </w:rPr>
        <w:t>应先对投标人进行资格审查，</w:t>
      </w:r>
      <w:r>
        <w:rPr>
          <w:rFonts w:hint="eastAsia" w:ascii="仿宋" w:hAnsi="仿宋" w:eastAsia="仿宋"/>
          <w:szCs w:val="32"/>
        </w:rPr>
        <w:t>然后对</w:t>
      </w:r>
      <w:r>
        <w:rPr>
          <w:rFonts w:ascii="仿宋" w:hAnsi="仿宋" w:eastAsia="仿宋"/>
          <w:szCs w:val="32"/>
        </w:rPr>
        <w:t>通过资格审查的投标人采用百分制记分法分别进行技术、资信、商务报价评分，总分最高的投标人推荐</w:t>
      </w:r>
      <w:r>
        <w:rPr>
          <w:rFonts w:hint="eastAsia" w:ascii="仿宋" w:hAnsi="仿宋" w:eastAsia="仿宋"/>
          <w:szCs w:val="32"/>
        </w:rPr>
        <w:t>为</w:t>
      </w:r>
      <w:r>
        <w:rPr>
          <w:rFonts w:ascii="仿宋" w:hAnsi="仿宋" w:eastAsia="仿宋"/>
          <w:szCs w:val="32"/>
        </w:rPr>
        <w:t>中标候选人。</w:t>
      </w:r>
    </w:p>
    <w:p>
      <w:pPr>
        <w:spacing w:line="480" w:lineRule="exact"/>
        <w:ind w:firstLine="640" w:firstLineChars="200"/>
        <w:rPr>
          <w:rFonts w:ascii="仿宋" w:hAnsi="仿宋" w:eastAsia="仿宋"/>
          <w:color w:val="000000"/>
          <w:szCs w:val="32"/>
        </w:rPr>
      </w:pPr>
      <w:r>
        <w:rPr>
          <w:rFonts w:ascii="仿宋" w:hAnsi="仿宋" w:eastAsia="仿宋"/>
          <w:szCs w:val="32"/>
        </w:rPr>
        <w:t>总分=技术</w:t>
      </w:r>
      <w:r>
        <w:rPr>
          <w:rFonts w:ascii="仿宋" w:hAnsi="仿宋" w:eastAsia="仿宋"/>
          <w:color w:val="000000"/>
          <w:szCs w:val="32"/>
        </w:rPr>
        <w:t>分（</w:t>
      </w:r>
      <w:r>
        <w:rPr>
          <w:rFonts w:ascii="仿宋" w:hAnsi="仿宋" w:eastAsia="仿宋"/>
          <w:b/>
          <w:bCs/>
          <w:color w:val="000000"/>
          <w:szCs w:val="32"/>
        </w:rPr>
        <w:t>60</w:t>
      </w:r>
      <w:r>
        <w:rPr>
          <w:rFonts w:ascii="仿宋" w:hAnsi="仿宋" w:eastAsia="仿宋"/>
          <w:color w:val="000000"/>
          <w:szCs w:val="32"/>
        </w:rPr>
        <w:t>分）+资信分</w:t>
      </w:r>
      <w:r>
        <w:rPr>
          <w:rFonts w:hint="eastAsia" w:ascii="仿宋" w:hAnsi="仿宋" w:eastAsia="仿宋"/>
          <w:color w:val="000000"/>
          <w:szCs w:val="32"/>
        </w:rPr>
        <w:t>（</w:t>
      </w:r>
      <w:r>
        <w:rPr>
          <w:rFonts w:ascii="仿宋" w:hAnsi="仿宋" w:eastAsia="仿宋"/>
          <w:b/>
          <w:bCs/>
          <w:color w:val="000000"/>
          <w:szCs w:val="32"/>
        </w:rPr>
        <w:t>20分</w:t>
      </w:r>
      <w:r>
        <w:rPr>
          <w:rFonts w:ascii="仿宋" w:hAnsi="仿宋" w:eastAsia="仿宋"/>
          <w:color w:val="000000"/>
          <w:szCs w:val="32"/>
        </w:rPr>
        <w:t>）+商务分（</w:t>
      </w:r>
      <w:r>
        <w:rPr>
          <w:rFonts w:ascii="仿宋" w:hAnsi="仿宋" w:eastAsia="仿宋"/>
          <w:b/>
          <w:color w:val="000000"/>
          <w:szCs w:val="32"/>
        </w:rPr>
        <w:t>20</w:t>
      </w:r>
      <w:r>
        <w:rPr>
          <w:rFonts w:ascii="仿宋" w:hAnsi="仿宋" w:eastAsia="仿宋"/>
          <w:color w:val="000000"/>
          <w:szCs w:val="32"/>
        </w:rPr>
        <w:t>分）</w:t>
      </w:r>
      <w:r>
        <w:rPr>
          <w:rFonts w:hint="eastAsia" w:ascii="仿宋" w:hAnsi="仿宋" w:eastAsia="仿宋"/>
          <w:color w:val="000000"/>
          <w:szCs w:val="32"/>
        </w:rPr>
        <w:t>（适用于咨询内容包含设计的项目）</w:t>
      </w:r>
    </w:p>
    <w:p>
      <w:pPr>
        <w:spacing w:line="480" w:lineRule="exact"/>
        <w:ind w:firstLine="640" w:firstLineChars="200"/>
        <w:rPr>
          <w:rFonts w:ascii="仿宋" w:hAnsi="仿宋" w:eastAsia="仿宋"/>
          <w:color w:val="000000"/>
          <w:szCs w:val="32"/>
        </w:rPr>
      </w:pPr>
      <w:r>
        <w:rPr>
          <w:rFonts w:ascii="仿宋" w:hAnsi="仿宋" w:eastAsia="仿宋"/>
          <w:szCs w:val="32"/>
        </w:rPr>
        <w:t>总分=技术</w:t>
      </w:r>
      <w:r>
        <w:rPr>
          <w:rFonts w:ascii="仿宋" w:hAnsi="仿宋" w:eastAsia="仿宋"/>
          <w:color w:val="000000"/>
          <w:szCs w:val="32"/>
        </w:rPr>
        <w:t>分（</w:t>
      </w:r>
      <w:r>
        <w:rPr>
          <w:rFonts w:hint="eastAsia" w:ascii="仿宋" w:hAnsi="仿宋" w:eastAsia="仿宋"/>
          <w:b/>
          <w:bCs/>
          <w:color w:val="000000"/>
          <w:szCs w:val="32"/>
        </w:rPr>
        <w:t>5</w:t>
      </w:r>
      <w:r>
        <w:rPr>
          <w:rFonts w:ascii="仿宋" w:hAnsi="仿宋" w:eastAsia="仿宋"/>
          <w:b/>
          <w:bCs/>
          <w:color w:val="000000"/>
          <w:szCs w:val="32"/>
        </w:rPr>
        <w:t>0</w:t>
      </w:r>
      <w:r>
        <w:rPr>
          <w:rFonts w:ascii="仿宋" w:hAnsi="仿宋" w:eastAsia="仿宋"/>
          <w:color w:val="000000"/>
          <w:szCs w:val="32"/>
        </w:rPr>
        <w:t>分）+资信分</w:t>
      </w:r>
      <w:r>
        <w:rPr>
          <w:rFonts w:hint="eastAsia" w:ascii="仿宋" w:hAnsi="仿宋" w:eastAsia="仿宋"/>
          <w:color w:val="000000"/>
          <w:szCs w:val="32"/>
        </w:rPr>
        <w:t>（</w:t>
      </w:r>
      <w:r>
        <w:rPr>
          <w:rFonts w:ascii="仿宋" w:hAnsi="仿宋" w:eastAsia="仿宋"/>
          <w:b/>
          <w:bCs/>
          <w:color w:val="000000"/>
          <w:szCs w:val="32"/>
        </w:rPr>
        <w:t>20分</w:t>
      </w:r>
      <w:r>
        <w:rPr>
          <w:rFonts w:ascii="仿宋" w:hAnsi="仿宋" w:eastAsia="仿宋"/>
          <w:color w:val="000000"/>
          <w:szCs w:val="32"/>
        </w:rPr>
        <w:t>）+商务分（</w:t>
      </w:r>
      <w:r>
        <w:rPr>
          <w:rFonts w:hint="eastAsia" w:ascii="仿宋" w:hAnsi="仿宋" w:eastAsia="仿宋"/>
          <w:b/>
          <w:color w:val="000000"/>
          <w:szCs w:val="32"/>
        </w:rPr>
        <w:t>3</w:t>
      </w:r>
      <w:r>
        <w:rPr>
          <w:rFonts w:ascii="仿宋" w:hAnsi="仿宋" w:eastAsia="仿宋"/>
          <w:b/>
          <w:color w:val="000000"/>
          <w:szCs w:val="32"/>
        </w:rPr>
        <w:t>0</w:t>
      </w:r>
      <w:r>
        <w:rPr>
          <w:rFonts w:ascii="仿宋" w:hAnsi="仿宋" w:eastAsia="仿宋"/>
          <w:color w:val="000000"/>
          <w:szCs w:val="32"/>
        </w:rPr>
        <w:t>分）</w:t>
      </w:r>
      <w:r>
        <w:rPr>
          <w:rFonts w:hint="eastAsia" w:ascii="仿宋" w:hAnsi="仿宋" w:eastAsia="仿宋"/>
          <w:color w:val="000000"/>
          <w:szCs w:val="32"/>
        </w:rPr>
        <w:t>（适用于咨询内容不含设计的项目）</w:t>
      </w:r>
    </w:p>
    <w:p>
      <w:pPr>
        <w:spacing w:line="480" w:lineRule="exact"/>
        <w:ind w:firstLine="643" w:firstLineChars="200"/>
        <w:rPr>
          <w:rFonts w:ascii="仿宋" w:hAnsi="仿宋" w:eastAsia="仿宋"/>
          <w:b/>
          <w:szCs w:val="32"/>
        </w:rPr>
      </w:pPr>
    </w:p>
    <w:p>
      <w:pPr>
        <w:spacing w:line="480" w:lineRule="exact"/>
        <w:ind w:firstLine="643" w:firstLineChars="200"/>
        <w:rPr>
          <w:rFonts w:ascii="仿宋" w:hAnsi="仿宋" w:eastAsia="仿宋"/>
          <w:b/>
          <w:szCs w:val="32"/>
        </w:rPr>
      </w:pPr>
      <w:r>
        <w:rPr>
          <w:rFonts w:ascii="仿宋" w:hAnsi="仿宋" w:eastAsia="仿宋"/>
          <w:b/>
          <w:szCs w:val="32"/>
        </w:rPr>
        <w:t>一、评标顺序</w:t>
      </w:r>
    </w:p>
    <w:p>
      <w:pPr>
        <w:spacing w:line="480" w:lineRule="exact"/>
        <w:ind w:firstLine="320" w:firstLineChars="100"/>
        <w:rPr>
          <w:rFonts w:ascii="仿宋" w:hAnsi="仿宋" w:eastAsia="仿宋"/>
          <w:szCs w:val="32"/>
        </w:rPr>
      </w:pPr>
      <w:r>
        <w:rPr>
          <w:rFonts w:ascii="仿宋" w:hAnsi="仿宋" w:eastAsia="仿宋"/>
          <w:szCs w:val="32"/>
        </w:rPr>
        <w:t>（一）资格审查</w:t>
      </w:r>
    </w:p>
    <w:p>
      <w:pPr>
        <w:spacing w:line="480" w:lineRule="exact"/>
        <w:ind w:firstLine="320" w:firstLineChars="100"/>
        <w:rPr>
          <w:rFonts w:ascii="仿宋" w:hAnsi="仿宋" w:eastAsia="仿宋"/>
          <w:szCs w:val="32"/>
        </w:rPr>
      </w:pPr>
      <w:r>
        <w:rPr>
          <w:rFonts w:ascii="仿宋" w:hAnsi="仿宋" w:eastAsia="仿宋"/>
          <w:szCs w:val="32"/>
        </w:rPr>
        <w:t>（二）技术评审</w:t>
      </w:r>
    </w:p>
    <w:p>
      <w:pPr>
        <w:spacing w:line="480" w:lineRule="exact"/>
        <w:ind w:firstLine="320" w:firstLineChars="100"/>
        <w:rPr>
          <w:rFonts w:ascii="仿宋" w:hAnsi="仿宋" w:eastAsia="仿宋"/>
          <w:szCs w:val="32"/>
        </w:rPr>
      </w:pPr>
      <w:r>
        <w:rPr>
          <w:rFonts w:ascii="仿宋" w:hAnsi="仿宋" w:eastAsia="仿宋"/>
          <w:szCs w:val="32"/>
        </w:rPr>
        <w:t>（三）</w:t>
      </w:r>
      <w:r>
        <w:rPr>
          <w:rFonts w:hint="eastAsia" w:ascii="仿宋" w:hAnsi="仿宋" w:eastAsia="仿宋"/>
          <w:szCs w:val="32"/>
        </w:rPr>
        <w:t>符合性</w:t>
      </w:r>
      <w:r>
        <w:rPr>
          <w:rFonts w:ascii="仿宋" w:hAnsi="仿宋" w:eastAsia="仿宋"/>
          <w:szCs w:val="32"/>
        </w:rPr>
        <w:t>评审</w:t>
      </w:r>
    </w:p>
    <w:p>
      <w:pPr>
        <w:spacing w:line="480" w:lineRule="exact"/>
        <w:ind w:firstLine="320" w:firstLineChars="100"/>
        <w:rPr>
          <w:rFonts w:ascii="仿宋" w:hAnsi="仿宋" w:eastAsia="仿宋"/>
          <w:szCs w:val="32"/>
        </w:rPr>
      </w:pPr>
      <w:r>
        <w:rPr>
          <w:rFonts w:ascii="仿宋" w:hAnsi="仿宋" w:eastAsia="仿宋"/>
          <w:szCs w:val="32"/>
        </w:rPr>
        <w:t>（四）资信评审</w:t>
      </w:r>
    </w:p>
    <w:p>
      <w:pPr>
        <w:spacing w:line="480" w:lineRule="exact"/>
        <w:ind w:firstLine="320" w:firstLineChars="100"/>
        <w:rPr>
          <w:rFonts w:ascii="仿宋" w:hAnsi="仿宋" w:eastAsia="仿宋"/>
          <w:szCs w:val="32"/>
        </w:rPr>
      </w:pPr>
      <w:r>
        <w:rPr>
          <w:rFonts w:ascii="仿宋" w:hAnsi="仿宋" w:eastAsia="仿宋"/>
          <w:szCs w:val="32"/>
        </w:rPr>
        <w:t>（五）商务评审</w:t>
      </w:r>
    </w:p>
    <w:p>
      <w:pPr>
        <w:spacing w:line="480" w:lineRule="exact"/>
        <w:ind w:firstLine="320" w:firstLineChars="100"/>
        <w:rPr>
          <w:rFonts w:ascii="仿宋" w:hAnsi="仿宋" w:eastAsia="仿宋"/>
          <w:szCs w:val="32"/>
        </w:rPr>
      </w:pPr>
      <w:r>
        <w:rPr>
          <w:rFonts w:ascii="仿宋" w:hAnsi="仿宋" w:eastAsia="仿宋"/>
          <w:szCs w:val="32"/>
        </w:rPr>
        <w:t>（六）推荐中标候选人</w:t>
      </w:r>
    </w:p>
    <w:p>
      <w:pPr>
        <w:spacing w:line="480" w:lineRule="exact"/>
        <w:ind w:firstLine="643" w:firstLineChars="200"/>
        <w:rPr>
          <w:rFonts w:ascii="仿宋" w:hAnsi="仿宋" w:eastAsia="仿宋"/>
          <w:b/>
          <w:szCs w:val="32"/>
        </w:rPr>
      </w:pPr>
      <w:r>
        <w:rPr>
          <w:rFonts w:ascii="仿宋" w:hAnsi="仿宋" w:eastAsia="仿宋"/>
          <w:b/>
          <w:szCs w:val="32"/>
        </w:rPr>
        <w:t>二、资格审查</w:t>
      </w:r>
    </w:p>
    <w:p>
      <w:pPr>
        <w:spacing w:line="480" w:lineRule="exact"/>
        <w:ind w:firstLine="420"/>
        <w:rPr>
          <w:rFonts w:ascii="仿宋" w:hAnsi="仿宋" w:eastAsia="仿宋"/>
          <w:bCs/>
          <w:szCs w:val="32"/>
        </w:rPr>
      </w:pPr>
      <w:r>
        <w:rPr>
          <w:rFonts w:ascii="仿宋" w:hAnsi="仿宋" w:eastAsia="仿宋"/>
          <w:bCs/>
          <w:szCs w:val="32"/>
        </w:rPr>
        <w:t>评标委员会对投标人进行资格审查，投标文件存在以下情形之一的，资格审查不予通过，否决其投标：</w:t>
      </w:r>
    </w:p>
    <w:p>
      <w:pPr>
        <w:spacing w:line="480" w:lineRule="exact"/>
        <w:ind w:firstLine="420"/>
        <w:rPr>
          <w:rFonts w:ascii="仿宋" w:hAnsi="仿宋" w:eastAsia="仿宋"/>
          <w:bCs/>
          <w:szCs w:val="32"/>
        </w:rPr>
      </w:pPr>
      <w:r>
        <w:rPr>
          <w:rFonts w:ascii="仿宋" w:hAnsi="仿宋" w:eastAsia="仿宋"/>
          <w:bCs/>
          <w:szCs w:val="32"/>
        </w:rPr>
        <w:t>（一）投标人不满足招标文件载明</w:t>
      </w:r>
      <w:r>
        <w:rPr>
          <w:rFonts w:ascii="仿宋" w:hAnsi="仿宋" w:eastAsia="仿宋"/>
          <w:bCs/>
          <w:color w:val="000000"/>
          <w:szCs w:val="32"/>
        </w:rPr>
        <w:t>的企业资质、</w:t>
      </w:r>
      <w:r>
        <w:rPr>
          <w:rFonts w:hint="eastAsia" w:ascii="仿宋" w:hAnsi="仿宋" w:eastAsia="仿宋"/>
          <w:bCs/>
          <w:szCs w:val="32"/>
        </w:rPr>
        <w:t>人员</w:t>
      </w:r>
      <w:r>
        <w:rPr>
          <w:rFonts w:ascii="仿宋" w:hAnsi="仿宋" w:eastAsia="仿宋"/>
          <w:bCs/>
          <w:szCs w:val="32"/>
        </w:rPr>
        <w:t>资格、业绩条件（若有）的；</w:t>
      </w:r>
    </w:p>
    <w:p>
      <w:pPr>
        <w:spacing w:line="480" w:lineRule="exact"/>
        <w:ind w:firstLine="420"/>
        <w:rPr>
          <w:rFonts w:ascii="仿宋" w:hAnsi="仿宋" w:eastAsia="仿宋"/>
          <w:bCs/>
          <w:szCs w:val="32"/>
        </w:rPr>
      </w:pPr>
      <w:r>
        <w:rPr>
          <w:rFonts w:ascii="仿宋" w:hAnsi="仿宋" w:eastAsia="仿宋"/>
          <w:bCs/>
          <w:szCs w:val="32"/>
        </w:rPr>
        <w:t>（二）投标人未按照招标文件的要求提交投标保证金的；</w:t>
      </w:r>
    </w:p>
    <w:p>
      <w:pPr>
        <w:spacing w:line="480" w:lineRule="exact"/>
        <w:ind w:firstLine="420"/>
        <w:rPr>
          <w:rFonts w:ascii="仿宋" w:hAnsi="仿宋" w:eastAsia="仿宋"/>
          <w:bCs/>
          <w:szCs w:val="32"/>
        </w:rPr>
      </w:pPr>
      <w:r>
        <w:rPr>
          <w:rFonts w:ascii="仿宋" w:hAnsi="仿宋" w:eastAsia="仿宋"/>
          <w:bCs/>
          <w:szCs w:val="32"/>
        </w:rPr>
        <w:t>（三）投标人被有关行政监管部门通报限制投标且在限制期内的；</w:t>
      </w:r>
    </w:p>
    <w:p>
      <w:pPr>
        <w:spacing w:line="480" w:lineRule="exact"/>
        <w:ind w:firstLine="420"/>
        <w:rPr>
          <w:rFonts w:ascii="仿宋" w:hAnsi="仿宋" w:eastAsia="仿宋"/>
          <w:bCs/>
          <w:szCs w:val="32"/>
        </w:rPr>
      </w:pPr>
      <w:r>
        <w:rPr>
          <w:rFonts w:ascii="仿宋" w:hAnsi="仿宋" w:eastAsia="仿宋"/>
          <w:bCs/>
          <w:szCs w:val="32"/>
        </w:rPr>
        <w:t>（四）拟派总监理工程师承接项目数量超过招标文件规定及相关法律法规、文件规定的（若有）；</w:t>
      </w:r>
    </w:p>
    <w:p>
      <w:pPr>
        <w:spacing w:line="480" w:lineRule="exact"/>
        <w:ind w:firstLine="420"/>
        <w:rPr>
          <w:rFonts w:ascii="仿宋" w:hAnsi="仿宋" w:eastAsia="仿宋"/>
          <w:bCs/>
          <w:szCs w:val="32"/>
        </w:rPr>
      </w:pPr>
      <w:r>
        <w:rPr>
          <w:rFonts w:ascii="仿宋" w:hAnsi="仿宋" w:eastAsia="仿宋"/>
          <w:bCs/>
          <w:szCs w:val="32"/>
        </w:rPr>
        <w:t>（</w:t>
      </w:r>
      <w:r>
        <w:rPr>
          <w:rFonts w:hint="eastAsia" w:ascii="仿宋" w:hAnsi="仿宋" w:eastAsia="仿宋"/>
          <w:bCs/>
          <w:szCs w:val="32"/>
        </w:rPr>
        <w:t>五</w:t>
      </w:r>
      <w:r>
        <w:rPr>
          <w:rFonts w:ascii="仿宋" w:hAnsi="仿宋" w:eastAsia="仿宋"/>
          <w:bCs/>
          <w:szCs w:val="32"/>
        </w:rPr>
        <w:t>）不同投标人的投标文件检测码一致的；</w:t>
      </w:r>
    </w:p>
    <w:p>
      <w:pPr>
        <w:spacing w:line="480" w:lineRule="exact"/>
        <w:ind w:firstLine="420"/>
        <w:rPr>
          <w:rFonts w:ascii="仿宋" w:hAnsi="仿宋" w:eastAsia="仿宋"/>
          <w:bCs/>
          <w:szCs w:val="32"/>
        </w:rPr>
      </w:pPr>
      <w:r>
        <w:rPr>
          <w:rFonts w:ascii="仿宋" w:hAnsi="仿宋" w:eastAsia="仿宋"/>
          <w:bCs/>
          <w:szCs w:val="32"/>
        </w:rPr>
        <w:t>（</w:t>
      </w:r>
      <w:r>
        <w:rPr>
          <w:rFonts w:hint="eastAsia" w:ascii="仿宋" w:hAnsi="仿宋" w:eastAsia="仿宋"/>
          <w:bCs/>
          <w:szCs w:val="32"/>
        </w:rPr>
        <w:t>六</w:t>
      </w:r>
      <w:r>
        <w:rPr>
          <w:rFonts w:ascii="仿宋" w:hAnsi="仿宋" w:eastAsia="仿宋"/>
          <w:bCs/>
          <w:szCs w:val="32"/>
        </w:rPr>
        <w:t>）不符合资格条件的其他情形。</w:t>
      </w:r>
    </w:p>
    <w:p>
      <w:pPr>
        <w:spacing w:line="480" w:lineRule="exact"/>
        <w:ind w:firstLine="420"/>
        <w:rPr>
          <w:rFonts w:ascii="仿宋" w:hAnsi="仿宋" w:eastAsia="仿宋"/>
          <w:bCs/>
          <w:szCs w:val="32"/>
        </w:rPr>
      </w:pPr>
      <w:r>
        <w:rPr>
          <w:rFonts w:hint="eastAsia" w:ascii="仿宋" w:hAnsi="仿宋" w:eastAsia="仿宋"/>
          <w:b/>
          <w:bCs/>
          <w:szCs w:val="32"/>
        </w:rPr>
        <w:t xml:space="preserve"> </w:t>
      </w:r>
      <w:r>
        <w:rPr>
          <w:rFonts w:ascii="仿宋" w:hAnsi="仿宋" w:eastAsia="仿宋"/>
          <w:bCs/>
          <w:szCs w:val="32"/>
        </w:rPr>
        <w:t>招标文件设置工程业绩作为资格条件的，若通过资格审查的投标人</w:t>
      </w:r>
      <w:r>
        <w:rPr>
          <w:rFonts w:ascii="仿宋" w:hAnsi="仿宋" w:eastAsia="仿宋"/>
          <w:bCs/>
          <w:color w:val="000000"/>
          <w:szCs w:val="32"/>
        </w:rPr>
        <w:t>＜</w:t>
      </w:r>
      <w:r>
        <w:rPr>
          <w:rFonts w:hint="eastAsia" w:ascii="仿宋" w:hAnsi="仿宋" w:eastAsia="仿宋"/>
          <w:b/>
          <w:color w:val="000000"/>
          <w:szCs w:val="32"/>
        </w:rPr>
        <w:t>15</w:t>
      </w:r>
      <w:r>
        <w:rPr>
          <w:rFonts w:ascii="仿宋" w:hAnsi="仿宋" w:eastAsia="仿宋"/>
          <w:bCs/>
          <w:szCs w:val="32"/>
        </w:rPr>
        <w:t>个的，评标委员会应当否决所有投标。</w:t>
      </w:r>
      <w:r>
        <w:rPr>
          <w:rFonts w:hint="eastAsia" w:ascii="仿宋" w:hAnsi="仿宋" w:eastAsia="仿宋"/>
          <w:bCs/>
          <w:szCs w:val="32"/>
        </w:rPr>
        <w:t>招</w:t>
      </w:r>
      <w:r>
        <w:rPr>
          <w:rFonts w:ascii="仿宋" w:hAnsi="仿宋" w:eastAsia="仿宋"/>
          <w:bCs/>
          <w:szCs w:val="32"/>
        </w:rPr>
        <w:t>标人应分析原因、降低条件后重新招标。</w:t>
      </w:r>
    </w:p>
    <w:p>
      <w:pPr>
        <w:spacing w:line="480" w:lineRule="exact"/>
        <w:ind w:firstLine="643" w:firstLineChars="200"/>
        <w:rPr>
          <w:rFonts w:ascii="仿宋" w:hAnsi="仿宋" w:eastAsia="仿宋"/>
          <w:b/>
          <w:szCs w:val="32"/>
        </w:rPr>
      </w:pPr>
      <w:r>
        <w:rPr>
          <w:rFonts w:ascii="仿宋" w:hAnsi="仿宋" w:eastAsia="仿宋"/>
          <w:b/>
          <w:szCs w:val="32"/>
        </w:rPr>
        <w:t>三、技术标评审（暗标）</w:t>
      </w:r>
    </w:p>
    <w:p>
      <w:pPr>
        <w:spacing w:line="480" w:lineRule="exact"/>
        <w:ind w:firstLine="320" w:firstLineChars="100"/>
        <w:rPr>
          <w:rFonts w:ascii="仿宋" w:hAnsi="仿宋" w:eastAsia="仿宋"/>
          <w:bCs/>
          <w:szCs w:val="32"/>
        </w:rPr>
      </w:pPr>
      <w:r>
        <w:rPr>
          <w:rFonts w:ascii="仿宋" w:hAnsi="仿宋" w:eastAsia="仿宋"/>
          <w:bCs/>
          <w:szCs w:val="32"/>
        </w:rPr>
        <w:t>评标委员会对通过资格审查的投标文件进行技术标评审。</w:t>
      </w:r>
    </w:p>
    <w:p>
      <w:pPr>
        <w:spacing w:line="480" w:lineRule="exact"/>
        <w:ind w:firstLine="320" w:firstLineChars="100"/>
        <w:rPr>
          <w:rFonts w:ascii="仿宋" w:hAnsi="仿宋" w:eastAsia="仿宋"/>
          <w:szCs w:val="32"/>
        </w:rPr>
      </w:pPr>
      <w:r>
        <w:rPr>
          <w:rFonts w:ascii="仿宋" w:hAnsi="仿宋" w:eastAsia="仿宋"/>
          <w:szCs w:val="32"/>
        </w:rPr>
        <w:t>评标委员会按照招标文件的要求，对违反暗标规定的技术标评审不予通过，否决其投标。</w:t>
      </w:r>
    </w:p>
    <w:p>
      <w:pPr>
        <w:spacing w:line="480" w:lineRule="exact"/>
        <w:ind w:firstLine="320" w:firstLineChars="100"/>
        <w:rPr>
          <w:rFonts w:ascii="仿宋" w:hAnsi="仿宋" w:eastAsia="仿宋"/>
          <w:szCs w:val="32"/>
        </w:rPr>
      </w:pPr>
      <w:r>
        <w:rPr>
          <w:rFonts w:ascii="仿宋" w:hAnsi="仿宋" w:eastAsia="仿宋"/>
          <w:szCs w:val="32"/>
        </w:rPr>
        <w:t xml:space="preserve"> 评标委员会各成员按招标文件明确的评审标准独立评审。投标人的技术分为全体评标委员会成员的评分去掉</w:t>
      </w:r>
      <w:r>
        <w:rPr>
          <w:rFonts w:hint="eastAsia" w:ascii="仿宋" w:hAnsi="仿宋" w:eastAsia="仿宋"/>
          <w:szCs w:val="32"/>
        </w:rPr>
        <w:t>一个</w:t>
      </w:r>
      <w:r>
        <w:rPr>
          <w:rFonts w:ascii="仿宋" w:hAnsi="仿宋" w:eastAsia="仿宋"/>
          <w:szCs w:val="32"/>
        </w:rPr>
        <w:t>最高分和</w:t>
      </w:r>
      <w:r>
        <w:rPr>
          <w:rFonts w:hint="eastAsia" w:ascii="仿宋" w:hAnsi="仿宋" w:eastAsia="仿宋"/>
          <w:szCs w:val="32"/>
        </w:rPr>
        <w:t>一个</w:t>
      </w:r>
      <w:r>
        <w:rPr>
          <w:rFonts w:ascii="仿宋" w:hAnsi="仿宋" w:eastAsia="仿宋"/>
          <w:szCs w:val="32"/>
        </w:rPr>
        <w:t>最低分后的平均值（评分保留一位小数，计算过程保留两位小数）。</w:t>
      </w:r>
    </w:p>
    <w:p>
      <w:pPr>
        <w:spacing w:line="480" w:lineRule="exact"/>
        <w:ind w:firstLine="480" w:firstLineChars="150"/>
        <w:rPr>
          <w:rFonts w:ascii="仿宋" w:hAnsi="仿宋" w:eastAsia="仿宋"/>
          <w:szCs w:val="32"/>
        </w:rPr>
      </w:pPr>
      <w:r>
        <w:rPr>
          <w:rFonts w:ascii="仿宋" w:hAnsi="仿宋" w:eastAsia="仿宋"/>
          <w:szCs w:val="32"/>
        </w:rPr>
        <w:t>技术</w:t>
      </w:r>
      <w:r>
        <w:rPr>
          <w:rFonts w:hint="eastAsia" w:ascii="仿宋" w:hAnsi="仿宋" w:eastAsia="仿宋"/>
          <w:szCs w:val="32"/>
        </w:rPr>
        <w:t>标</w:t>
      </w:r>
      <w:r>
        <w:rPr>
          <w:rFonts w:ascii="仿宋" w:hAnsi="仿宋" w:eastAsia="仿宋"/>
          <w:szCs w:val="32"/>
        </w:rPr>
        <w:t>评审因素主要包括以下内容：</w:t>
      </w:r>
      <w:r>
        <w:rPr>
          <w:rFonts w:hint="eastAsia" w:ascii="仿宋" w:hAnsi="仿宋" w:eastAsia="仿宋"/>
          <w:bCs/>
          <w:color w:val="000000"/>
          <w:szCs w:val="32"/>
        </w:rPr>
        <w:t>（勘察、设计、监理等具体评审因素及分值权重设定可参照各专业类评标办法）</w:t>
      </w:r>
    </w:p>
    <w:p>
      <w:pPr>
        <w:spacing w:line="400" w:lineRule="exact"/>
        <w:ind w:firstLine="240" w:firstLineChars="100"/>
        <w:jc w:val="center"/>
        <w:rPr>
          <w:rFonts w:eastAsia="黑体"/>
          <w:sz w:val="24"/>
        </w:rPr>
      </w:pPr>
      <w:r>
        <w:rPr>
          <w:rFonts w:eastAsia="黑体"/>
          <w:sz w:val="24"/>
        </w:rPr>
        <w:t>评审因素表</w:t>
      </w:r>
    </w:p>
    <w:tbl>
      <w:tblPr>
        <w:tblStyle w:val="3"/>
        <w:tblW w:w="8769" w:type="dxa"/>
        <w:tblInd w:w="25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76"/>
        <w:gridCol w:w="1559"/>
        <w:gridCol w:w="59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2" w:hRule="atLeast"/>
        </w:trPr>
        <w:tc>
          <w:tcPr>
            <w:tcW w:w="1276" w:type="dxa"/>
            <w:vMerge w:val="restart"/>
            <w:vAlign w:val="center"/>
          </w:tcPr>
          <w:p>
            <w:pPr>
              <w:spacing w:line="400" w:lineRule="exact"/>
              <w:jc w:val="left"/>
              <w:rPr>
                <w:bCs/>
                <w:color w:val="000000"/>
                <w:sz w:val="24"/>
              </w:rPr>
            </w:pPr>
            <w:r>
              <w:rPr>
                <w:bCs/>
                <w:color w:val="000000"/>
                <w:sz w:val="24"/>
              </w:rPr>
              <w:t>项目总体策划方案</w:t>
            </w:r>
          </w:p>
        </w:tc>
        <w:tc>
          <w:tcPr>
            <w:tcW w:w="7493" w:type="dxa"/>
            <w:gridSpan w:val="2"/>
            <w:vAlign w:val="center"/>
          </w:tcPr>
          <w:p>
            <w:pPr>
              <w:spacing w:line="400" w:lineRule="exact"/>
              <w:jc w:val="center"/>
              <w:rPr>
                <w:bCs/>
                <w:color w:val="000000"/>
                <w:sz w:val="24"/>
              </w:rPr>
            </w:pPr>
            <w:r>
              <w:rPr>
                <w:bCs/>
                <w:color w:val="000000"/>
                <w:sz w:val="24"/>
              </w:rPr>
              <w:t>项目概述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1276" w:type="dxa"/>
            <w:vMerge w:val="continue"/>
            <w:vAlign w:val="center"/>
          </w:tcPr>
          <w:p>
            <w:pPr>
              <w:spacing w:line="400" w:lineRule="exact"/>
              <w:jc w:val="center"/>
              <w:rPr>
                <w:bCs/>
                <w:color w:val="000000"/>
                <w:sz w:val="24"/>
              </w:rPr>
            </w:pPr>
          </w:p>
        </w:tc>
        <w:tc>
          <w:tcPr>
            <w:tcW w:w="7493" w:type="dxa"/>
            <w:gridSpan w:val="2"/>
            <w:vAlign w:val="center"/>
          </w:tcPr>
          <w:p>
            <w:pPr>
              <w:spacing w:line="400" w:lineRule="exact"/>
              <w:rPr>
                <w:bCs/>
                <w:color w:val="000000"/>
                <w:sz w:val="24"/>
              </w:rPr>
            </w:pPr>
            <w:r>
              <w:rPr>
                <w:bCs/>
                <w:color w:val="000000"/>
                <w:sz w:val="24"/>
              </w:rPr>
              <w:t>投标人对项目的理解，为完成本项目的全过程工程咨询制定的工作计划、制度、内容、程序、方法和措施等</w:t>
            </w:r>
            <w:r>
              <w:rPr>
                <w:rFonts w:hint="eastAsia"/>
                <w:bCs/>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1276" w:type="dxa"/>
            <w:vMerge w:val="continue"/>
            <w:vAlign w:val="center"/>
          </w:tcPr>
          <w:p>
            <w:pPr>
              <w:spacing w:line="400" w:lineRule="exact"/>
              <w:jc w:val="center"/>
              <w:rPr>
                <w:bCs/>
                <w:color w:val="000000"/>
                <w:sz w:val="24"/>
              </w:rPr>
            </w:pPr>
          </w:p>
        </w:tc>
        <w:tc>
          <w:tcPr>
            <w:tcW w:w="7493" w:type="dxa"/>
            <w:gridSpan w:val="2"/>
            <w:vAlign w:val="center"/>
          </w:tcPr>
          <w:p>
            <w:pPr>
              <w:spacing w:line="400" w:lineRule="exact"/>
              <w:rPr>
                <w:bCs/>
                <w:color w:val="000000"/>
                <w:sz w:val="24"/>
              </w:rPr>
            </w:pPr>
            <w:r>
              <w:rPr>
                <w:bCs/>
                <w:color w:val="000000"/>
                <w:sz w:val="24"/>
              </w:rPr>
              <w:t>项目组织机构、技术服务机构和人员配备合理性；各类专业人员分工是否科学、合理、高效。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2" w:hRule="atLeast"/>
        </w:trPr>
        <w:tc>
          <w:tcPr>
            <w:tcW w:w="1276" w:type="dxa"/>
            <w:vMerge w:val="continue"/>
            <w:vAlign w:val="center"/>
          </w:tcPr>
          <w:p>
            <w:pPr>
              <w:spacing w:line="400" w:lineRule="exact"/>
              <w:jc w:val="center"/>
              <w:rPr>
                <w:bCs/>
                <w:color w:val="000000"/>
                <w:sz w:val="24"/>
              </w:rPr>
            </w:pPr>
          </w:p>
        </w:tc>
        <w:tc>
          <w:tcPr>
            <w:tcW w:w="7493" w:type="dxa"/>
            <w:gridSpan w:val="2"/>
            <w:vAlign w:val="center"/>
          </w:tcPr>
          <w:p>
            <w:pPr>
              <w:spacing w:line="400" w:lineRule="exact"/>
              <w:rPr>
                <w:bCs/>
                <w:color w:val="000000"/>
                <w:sz w:val="24"/>
              </w:rPr>
            </w:pPr>
            <w:r>
              <w:rPr>
                <w:bCs/>
                <w:color w:val="000000"/>
                <w:sz w:val="24"/>
              </w:rPr>
              <w:t>对实施全过程工程咨询服务中的重</w:t>
            </w:r>
            <w:r>
              <w:rPr>
                <w:rFonts w:hint="eastAsia"/>
                <w:bCs/>
                <w:color w:val="000000"/>
                <w:sz w:val="24"/>
              </w:rPr>
              <w:t>点</w:t>
            </w:r>
            <w:r>
              <w:rPr>
                <w:bCs/>
                <w:color w:val="000000"/>
                <w:sz w:val="24"/>
              </w:rPr>
              <w:t>难点分析及有效的、有针对性的措施</w:t>
            </w:r>
            <w:r>
              <w:rPr>
                <w:rFonts w:hint="eastAsia"/>
                <w:bCs/>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2" w:hRule="atLeast"/>
        </w:trPr>
        <w:tc>
          <w:tcPr>
            <w:tcW w:w="1276" w:type="dxa"/>
            <w:vAlign w:val="center"/>
          </w:tcPr>
          <w:p>
            <w:pPr>
              <w:spacing w:line="400" w:lineRule="exact"/>
              <w:jc w:val="center"/>
              <w:rPr>
                <w:bCs/>
                <w:color w:val="000000"/>
                <w:sz w:val="24"/>
              </w:rPr>
            </w:pPr>
            <w:r>
              <w:rPr>
                <w:bCs/>
                <w:color w:val="000000"/>
                <w:sz w:val="24"/>
              </w:rPr>
              <w:t>项目管理</w:t>
            </w:r>
          </w:p>
        </w:tc>
        <w:tc>
          <w:tcPr>
            <w:tcW w:w="7493" w:type="dxa"/>
            <w:gridSpan w:val="2"/>
            <w:vAlign w:val="center"/>
          </w:tcPr>
          <w:p>
            <w:pPr>
              <w:spacing w:line="400" w:lineRule="exact"/>
              <w:rPr>
                <w:bCs/>
                <w:color w:val="000000"/>
                <w:sz w:val="24"/>
              </w:rPr>
            </w:pPr>
            <w:r>
              <w:rPr>
                <w:bCs/>
                <w:color w:val="000000"/>
                <w:sz w:val="24"/>
              </w:rPr>
              <w:t>对项目的整体定位、工作思路</w:t>
            </w:r>
            <w:r>
              <w:rPr>
                <w:rFonts w:hint="eastAsia"/>
                <w:bCs/>
                <w:color w:val="000000"/>
                <w:sz w:val="24"/>
              </w:rPr>
              <w:t>、工作切入点认识的适宜性</w:t>
            </w:r>
            <w:r>
              <w:rPr>
                <w:bCs/>
                <w:color w:val="000000"/>
                <w:sz w:val="24"/>
              </w:rPr>
              <w:t>；项目管理方案、项目建设管理各项工作流程表的合理性；项目管理方式的创新性（针对新型技术的应用）</w:t>
            </w:r>
            <w:r>
              <w:rPr>
                <w:rFonts w:hint="eastAsia"/>
                <w:bCs/>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94" w:hRule="atLeast"/>
        </w:trPr>
        <w:tc>
          <w:tcPr>
            <w:tcW w:w="1276" w:type="dxa"/>
            <w:vMerge w:val="restart"/>
            <w:vAlign w:val="bottom"/>
          </w:tcPr>
          <w:p>
            <w:pPr>
              <w:pStyle w:val="5"/>
              <w:spacing w:line="400" w:lineRule="exact"/>
              <w:ind w:left="-96" w:leftChars="-30" w:right="-96" w:rightChars="-30"/>
              <w:jc w:val="center"/>
              <w:rPr>
                <w:rFonts w:ascii="Times New Roman" w:hAnsi="Times New Roman"/>
                <w:bCs/>
                <w:color w:val="000000"/>
                <w:sz w:val="24"/>
                <w:szCs w:val="24"/>
              </w:rPr>
            </w:pPr>
            <w:r>
              <w:rPr>
                <w:rFonts w:hint="eastAsia" w:ascii="Times New Roman" w:hAnsi="Times New Roman"/>
                <w:bCs/>
                <w:color w:val="000000"/>
                <w:sz w:val="24"/>
                <w:szCs w:val="24"/>
              </w:rPr>
              <w:t>专业咨询服务</w:t>
            </w:r>
          </w:p>
        </w:tc>
        <w:tc>
          <w:tcPr>
            <w:tcW w:w="1559" w:type="dxa"/>
            <w:vAlign w:val="center"/>
          </w:tcPr>
          <w:p>
            <w:pPr>
              <w:spacing w:line="400" w:lineRule="exact"/>
              <w:jc w:val="center"/>
              <w:rPr>
                <w:bCs/>
                <w:color w:val="000000"/>
                <w:sz w:val="24"/>
              </w:rPr>
            </w:pPr>
            <w:r>
              <w:rPr>
                <w:rFonts w:hint="eastAsia"/>
                <w:bCs/>
                <w:color w:val="000000"/>
                <w:sz w:val="24"/>
              </w:rPr>
              <w:t>□工程勘察</w:t>
            </w:r>
          </w:p>
        </w:tc>
        <w:tc>
          <w:tcPr>
            <w:tcW w:w="5934" w:type="dxa"/>
            <w:vAlign w:val="center"/>
          </w:tcPr>
          <w:p>
            <w:pPr>
              <w:spacing w:line="400" w:lineRule="exact"/>
              <w:rPr>
                <w:bCs/>
                <w:color w:val="000000"/>
                <w:sz w:val="24"/>
              </w:rPr>
            </w:pPr>
            <w:r>
              <w:rPr>
                <w:rFonts w:hint="eastAsia"/>
                <w:bCs/>
                <w:color w:val="000000"/>
                <w:sz w:val="24"/>
              </w:rPr>
              <w:t>针对项目的勘察方案、设备投入、质量保证措施和技术措施是否科学合理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restart"/>
            <w:vAlign w:val="center"/>
          </w:tcPr>
          <w:p>
            <w:pPr>
              <w:spacing w:line="400" w:lineRule="exact"/>
              <w:jc w:val="center"/>
              <w:rPr>
                <w:sz w:val="24"/>
              </w:rPr>
            </w:pPr>
            <w:r>
              <w:rPr>
                <w:rFonts w:hint="eastAsia" w:ascii="宋体" w:hAnsi="宋体"/>
                <w:sz w:val="24"/>
              </w:rPr>
              <w:t>□</w:t>
            </w:r>
            <w:r>
              <w:rPr>
                <w:sz w:val="24"/>
              </w:rPr>
              <w:t>设计</w:t>
            </w:r>
            <w:r>
              <w:rPr>
                <w:rFonts w:hint="eastAsia"/>
                <w:sz w:val="24"/>
              </w:rPr>
              <w:t>咨询（含优化）</w:t>
            </w:r>
          </w:p>
        </w:tc>
        <w:tc>
          <w:tcPr>
            <w:tcW w:w="5934" w:type="dxa"/>
            <w:vAlign w:val="center"/>
          </w:tcPr>
          <w:p>
            <w:pPr>
              <w:spacing w:line="400" w:lineRule="exact"/>
              <w:rPr>
                <w:bCs/>
                <w:color w:val="000000"/>
                <w:sz w:val="24"/>
              </w:rPr>
            </w:pPr>
            <w:r>
              <w:rPr>
                <w:bCs/>
                <w:color w:val="000000"/>
                <w:sz w:val="24"/>
              </w:rPr>
              <w:t>设计进度的策划，设计质量、限额设计的管理措施，针对本项目工艺、专项等设计建议</w:t>
            </w:r>
            <w:r>
              <w:rPr>
                <w:rFonts w:hint="eastAsia"/>
                <w:bCs/>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continue"/>
            <w:vAlign w:val="center"/>
          </w:tcPr>
          <w:p>
            <w:pPr>
              <w:spacing w:line="400" w:lineRule="exact"/>
              <w:ind w:firstLine="360" w:firstLineChars="150"/>
              <w:jc w:val="center"/>
              <w:rPr>
                <w:sz w:val="24"/>
              </w:rPr>
            </w:pPr>
          </w:p>
        </w:tc>
        <w:tc>
          <w:tcPr>
            <w:tcW w:w="5934" w:type="dxa"/>
            <w:vAlign w:val="center"/>
          </w:tcPr>
          <w:p>
            <w:pPr>
              <w:spacing w:line="400" w:lineRule="exact"/>
              <w:rPr>
                <w:bCs/>
                <w:color w:val="000000"/>
                <w:sz w:val="24"/>
              </w:rPr>
            </w:pPr>
            <w:r>
              <w:rPr>
                <w:bCs/>
                <w:color w:val="000000"/>
                <w:sz w:val="24"/>
              </w:rPr>
              <w:t>EPC模式下设计管理的建议（如有）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restart"/>
            <w:vAlign w:val="center"/>
          </w:tcPr>
          <w:p>
            <w:pPr>
              <w:spacing w:line="400" w:lineRule="exact"/>
              <w:rPr>
                <w:sz w:val="24"/>
              </w:rPr>
            </w:pPr>
            <w:r>
              <w:rPr>
                <w:rFonts w:hint="eastAsia"/>
                <w:sz w:val="24"/>
              </w:rPr>
              <w:t xml:space="preserve">  </w:t>
            </w:r>
            <w:r>
              <w:rPr>
                <w:rFonts w:hint="eastAsia" w:ascii="宋体" w:hAnsi="宋体"/>
                <w:sz w:val="24"/>
              </w:rPr>
              <w:t>□</w:t>
            </w:r>
            <w:r>
              <w:rPr>
                <w:sz w:val="24"/>
              </w:rPr>
              <w:t>设计</w:t>
            </w:r>
          </w:p>
        </w:tc>
        <w:tc>
          <w:tcPr>
            <w:tcW w:w="5934" w:type="dxa"/>
            <w:vAlign w:val="center"/>
          </w:tcPr>
          <w:p>
            <w:pPr>
              <w:spacing w:line="400" w:lineRule="exact"/>
              <w:rPr>
                <w:bCs/>
                <w:color w:val="000000"/>
                <w:sz w:val="24"/>
              </w:rPr>
            </w:pPr>
            <w:r>
              <w:rPr>
                <w:bCs/>
                <w:color w:val="000000"/>
                <w:sz w:val="24"/>
              </w:rPr>
              <w:t>对设计水平与质量的高低以及对招标文件的响应度进行综合评审：是否符合城市规划、有关技术规范及标准规定要求进行分析、评价，对方案社会效益、经济效益、环境效益的高低以及对“四节一环保”的体现进行分析、评价</w:t>
            </w:r>
            <w:r>
              <w:rPr>
                <w:rFonts w:hint="eastAsia"/>
                <w:bCs/>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continue"/>
            <w:vAlign w:val="center"/>
          </w:tcPr>
          <w:p>
            <w:pPr>
              <w:spacing w:line="400" w:lineRule="exact"/>
              <w:ind w:firstLine="360" w:firstLineChars="150"/>
              <w:jc w:val="center"/>
              <w:rPr>
                <w:sz w:val="24"/>
              </w:rPr>
            </w:pPr>
          </w:p>
        </w:tc>
        <w:tc>
          <w:tcPr>
            <w:tcW w:w="5934" w:type="dxa"/>
            <w:vAlign w:val="center"/>
          </w:tcPr>
          <w:p>
            <w:pPr>
              <w:spacing w:line="400" w:lineRule="exact"/>
              <w:rPr>
                <w:b/>
                <w:sz w:val="24"/>
              </w:rPr>
            </w:pPr>
            <w:r>
              <w:rPr>
                <w:sz w:val="24"/>
              </w:rPr>
              <w:t>对方案总平面设计的合理性、全面性、可实施性进行分析、评价，对项目特点难点把握是否准确到位；对方案专项设计及适宜性进行比较、分析</w:t>
            </w:r>
            <w:r>
              <w:rPr>
                <w:rFonts w:hint="eastAsia"/>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continue"/>
            <w:vAlign w:val="center"/>
          </w:tcPr>
          <w:p>
            <w:pPr>
              <w:spacing w:line="400" w:lineRule="exact"/>
              <w:ind w:firstLine="360" w:firstLineChars="150"/>
              <w:jc w:val="center"/>
              <w:rPr>
                <w:sz w:val="24"/>
              </w:rPr>
            </w:pPr>
          </w:p>
        </w:tc>
        <w:tc>
          <w:tcPr>
            <w:tcW w:w="5934" w:type="dxa"/>
            <w:vAlign w:val="center"/>
          </w:tcPr>
          <w:p>
            <w:pPr>
              <w:spacing w:line="400" w:lineRule="exact"/>
              <w:rPr>
                <w:sz w:val="24"/>
              </w:rPr>
            </w:pPr>
            <w:r>
              <w:rPr>
                <w:sz w:val="24"/>
              </w:rPr>
              <w:t>新型技术应用服务（如建筑工业化、BIM技术、绿色建筑、海绵城市应用等）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restart"/>
            <w:vAlign w:val="center"/>
          </w:tcPr>
          <w:p>
            <w:pPr>
              <w:spacing w:line="400" w:lineRule="exact"/>
              <w:rPr>
                <w:sz w:val="24"/>
              </w:rPr>
            </w:pPr>
            <w:r>
              <w:rPr>
                <w:rFonts w:hint="eastAsia"/>
                <w:bCs/>
                <w:color w:val="000000"/>
                <w:sz w:val="24"/>
              </w:rPr>
              <w:t>□</w:t>
            </w:r>
            <w:r>
              <w:rPr>
                <w:sz w:val="24"/>
              </w:rPr>
              <w:t>工程监理</w:t>
            </w:r>
          </w:p>
        </w:tc>
        <w:tc>
          <w:tcPr>
            <w:tcW w:w="5934" w:type="dxa"/>
            <w:vAlign w:val="center"/>
          </w:tcPr>
          <w:p>
            <w:pPr>
              <w:spacing w:line="400" w:lineRule="exact"/>
              <w:rPr>
                <w:sz w:val="24"/>
              </w:rPr>
            </w:pPr>
            <w:r>
              <w:rPr>
                <w:rFonts w:hint="eastAsia"/>
                <w:bCs/>
                <w:color w:val="000000"/>
                <w:sz w:val="24"/>
              </w:rPr>
              <w:t>监理</w:t>
            </w:r>
            <w:r>
              <w:rPr>
                <w:bCs/>
                <w:color w:val="000000"/>
                <w:sz w:val="24"/>
              </w:rPr>
              <w:t>方式的创新性（针对新型技术的应用）</w:t>
            </w:r>
            <w:r>
              <w:rPr>
                <w:rFonts w:hint="eastAsia"/>
                <w:bCs/>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continue"/>
            <w:vAlign w:val="center"/>
          </w:tcPr>
          <w:p>
            <w:pPr>
              <w:spacing w:line="400" w:lineRule="exact"/>
              <w:ind w:firstLine="240" w:firstLineChars="100"/>
              <w:rPr>
                <w:sz w:val="24"/>
              </w:rPr>
            </w:pPr>
          </w:p>
        </w:tc>
        <w:tc>
          <w:tcPr>
            <w:tcW w:w="5934" w:type="dxa"/>
            <w:vAlign w:val="center"/>
          </w:tcPr>
          <w:p>
            <w:pPr>
              <w:spacing w:line="400" w:lineRule="exact"/>
              <w:rPr>
                <w:sz w:val="24"/>
              </w:rPr>
            </w:pPr>
            <w:r>
              <w:rPr>
                <w:sz w:val="24"/>
              </w:rPr>
              <w:t>监理大纲整体情况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continue"/>
            <w:vAlign w:val="center"/>
          </w:tcPr>
          <w:p>
            <w:pPr>
              <w:spacing w:line="400" w:lineRule="exact"/>
              <w:ind w:firstLine="360" w:firstLineChars="150"/>
              <w:jc w:val="center"/>
              <w:rPr>
                <w:sz w:val="24"/>
              </w:rPr>
            </w:pPr>
          </w:p>
        </w:tc>
        <w:tc>
          <w:tcPr>
            <w:tcW w:w="5934" w:type="dxa"/>
            <w:vAlign w:val="center"/>
          </w:tcPr>
          <w:p>
            <w:pPr>
              <w:spacing w:line="400" w:lineRule="exact"/>
              <w:rPr>
                <w:sz w:val="24"/>
              </w:rPr>
            </w:pPr>
            <w:r>
              <w:rPr>
                <w:sz w:val="24"/>
              </w:rPr>
              <w:t>质量、进度、</w:t>
            </w:r>
            <w:r>
              <w:rPr>
                <w:rFonts w:hint="eastAsia"/>
                <w:sz w:val="24"/>
              </w:rPr>
              <w:t>投资、</w:t>
            </w:r>
            <w:r>
              <w:rPr>
                <w:sz w:val="24"/>
              </w:rPr>
              <w:t>造价以及安全文明控制措施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Merge w:val="continue"/>
            <w:vAlign w:val="center"/>
          </w:tcPr>
          <w:p>
            <w:pPr>
              <w:spacing w:line="400" w:lineRule="exact"/>
              <w:ind w:firstLine="360" w:firstLineChars="150"/>
              <w:jc w:val="center"/>
              <w:rPr>
                <w:sz w:val="24"/>
              </w:rPr>
            </w:pPr>
          </w:p>
        </w:tc>
        <w:tc>
          <w:tcPr>
            <w:tcW w:w="5934" w:type="dxa"/>
            <w:vAlign w:val="center"/>
          </w:tcPr>
          <w:p>
            <w:pPr>
              <w:spacing w:line="400" w:lineRule="exact"/>
              <w:rPr>
                <w:sz w:val="24"/>
              </w:rPr>
            </w:pPr>
            <w:r>
              <w:rPr>
                <w:bCs/>
                <w:sz w:val="24"/>
              </w:rPr>
              <w:t>针对本工程的重点、难点的处理措施</w:t>
            </w:r>
            <w:r>
              <w:rPr>
                <w:rFonts w:hint="eastAsia"/>
                <w:bCs/>
                <w:sz w:val="24"/>
              </w:rPr>
              <w:t>和合理化建议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06" w:hRule="atLeast"/>
        </w:trPr>
        <w:tc>
          <w:tcPr>
            <w:tcW w:w="1276" w:type="dxa"/>
            <w:vMerge w:val="continue"/>
            <w:vAlign w:val="center"/>
          </w:tcPr>
          <w:p>
            <w:pPr>
              <w:spacing w:line="400" w:lineRule="exact"/>
              <w:ind w:firstLine="360" w:firstLineChars="150"/>
              <w:rPr>
                <w:sz w:val="24"/>
              </w:rPr>
            </w:pPr>
          </w:p>
        </w:tc>
        <w:tc>
          <w:tcPr>
            <w:tcW w:w="1559" w:type="dxa"/>
            <w:vAlign w:val="center"/>
          </w:tcPr>
          <w:p>
            <w:pPr>
              <w:spacing w:line="400" w:lineRule="exact"/>
              <w:jc w:val="center"/>
              <w:rPr>
                <w:sz w:val="24"/>
              </w:rPr>
            </w:pPr>
            <w:r>
              <w:rPr>
                <w:rFonts w:hint="eastAsia"/>
                <w:bCs/>
                <w:color w:val="000000"/>
                <w:sz w:val="24"/>
              </w:rPr>
              <w:t>□</w:t>
            </w:r>
            <w:r>
              <w:rPr>
                <w:sz w:val="24"/>
              </w:rPr>
              <w:t>造价咨询</w:t>
            </w:r>
          </w:p>
        </w:tc>
        <w:tc>
          <w:tcPr>
            <w:tcW w:w="5934" w:type="dxa"/>
            <w:vAlign w:val="center"/>
          </w:tcPr>
          <w:p>
            <w:pPr>
              <w:spacing w:line="400" w:lineRule="exact"/>
              <w:rPr>
                <w:color w:val="000000"/>
                <w:sz w:val="24"/>
              </w:rPr>
            </w:pPr>
            <w:r>
              <w:rPr>
                <w:sz w:val="24"/>
              </w:rPr>
              <w:t>全过程工程造价</w:t>
            </w:r>
            <w:r>
              <w:rPr>
                <w:rFonts w:hint="eastAsia"/>
                <w:sz w:val="24"/>
              </w:rPr>
              <w:t>管理和控制</w:t>
            </w:r>
            <w:r>
              <w:rPr>
                <w:sz w:val="24"/>
              </w:rPr>
              <w:t>措施</w:t>
            </w:r>
            <w:r>
              <w:rPr>
                <w:rFonts w:hint="eastAsia"/>
                <w:sz w:val="24"/>
              </w:rPr>
              <w:t>及</w:t>
            </w:r>
            <w:r>
              <w:rPr>
                <w:sz w:val="24"/>
              </w:rPr>
              <w:t>方</w:t>
            </w:r>
            <w:r>
              <w:rPr>
                <w:bCs/>
                <w:sz w:val="24"/>
              </w:rPr>
              <w:t>法</w:t>
            </w:r>
            <w:r>
              <w:rPr>
                <w:rFonts w:hint="eastAsia"/>
                <w:bCs/>
                <w:sz w:val="24"/>
              </w:rPr>
              <w:t>；针对本项目各阶段造价咨询工作进行合理进度计划安排；针对本项目各阶段造价控制的措施及要点分析；各类造价成果编审质量保证措施；</w:t>
            </w:r>
            <w:r>
              <w:rPr>
                <w:bCs/>
                <w:sz w:val="24"/>
              </w:rPr>
              <w:t>工程</w:t>
            </w:r>
            <w:r>
              <w:rPr>
                <w:rFonts w:hint="eastAsia"/>
                <w:bCs/>
                <w:sz w:val="24"/>
              </w:rPr>
              <w:t>预</w:t>
            </w:r>
            <w:r>
              <w:rPr>
                <w:bCs/>
                <w:sz w:val="24"/>
              </w:rPr>
              <w:t>结算</w:t>
            </w:r>
            <w:r>
              <w:rPr>
                <w:rFonts w:hint="eastAsia"/>
                <w:bCs/>
                <w:sz w:val="24"/>
              </w:rPr>
              <w:t>编制、</w:t>
            </w:r>
            <w:r>
              <w:rPr>
                <w:bCs/>
                <w:sz w:val="24"/>
              </w:rPr>
              <w:t>审核的</w:t>
            </w:r>
            <w:r>
              <w:rPr>
                <w:rFonts w:hint="eastAsia"/>
                <w:bCs/>
                <w:sz w:val="24"/>
              </w:rPr>
              <w:t xml:space="preserve">要点难点；招标人针对本项目造价咨询工作的其它要求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Align w:val="center"/>
          </w:tcPr>
          <w:p>
            <w:pPr>
              <w:spacing w:line="400" w:lineRule="exact"/>
              <w:rPr>
                <w:sz w:val="24"/>
              </w:rPr>
            </w:pPr>
            <w:r>
              <w:rPr>
                <w:sz w:val="24"/>
              </w:rPr>
              <w:t xml:space="preserve"> </w:t>
            </w:r>
            <w:r>
              <w:rPr>
                <w:rFonts w:hint="eastAsia"/>
                <w:bCs/>
                <w:color w:val="000000"/>
                <w:sz w:val="24"/>
              </w:rPr>
              <w:t>□</w:t>
            </w:r>
            <w:r>
              <w:rPr>
                <w:sz w:val="24"/>
              </w:rPr>
              <w:t>招标代理</w:t>
            </w:r>
          </w:p>
        </w:tc>
        <w:tc>
          <w:tcPr>
            <w:tcW w:w="5934" w:type="dxa"/>
            <w:vAlign w:val="center"/>
          </w:tcPr>
          <w:p>
            <w:pPr>
              <w:spacing w:line="400" w:lineRule="exact"/>
              <w:rPr>
                <w:color w:val="000000"/>
                <w:sz w:val="24"/>
              </w:rPr>
            </w:pPr>
            <w:r>
              <w:rPr>
                <w:sz w:val="24"/>
              </w:rPr>
              <w:t>招标进度计</w:t>
            </w:r>
            <w:r>
              <w:rPr>
                <w:rFonts w:hint="eastAsia"/>
                <w:bCs/>
                <w:sz w:val="24"/>
              </w:rPr>
              <w:t xml:space="preserve">划、时间节点安排是否满足项目需求且具有针对性；招标策划措施是否适宜；招标文件编制重点难点、质量保障、应急预案措施是否可行；招标文件技术、商务、资信等需求的确定方式是否合理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Merge w:val="continue"/>
            <w:vAlign w:val="center"/>
          </w:tcPr>
          <w:p>
            <w:pPr>
              <w:spacing w:line="400" w:lineRule="exact"/>
              <w:ind w:firstLine="360" w:firstLineChars="150"/>
              <w:rPr>
                <w:sz w:val="24"/>
              </w:rPr>
            </w:pPr>
          </w:p>
        </w:tc>
        <w:tc>
          <w:tcPr>
            <w:tcW w:w="1559" w:type="dxa"/>
            <w:vAlign w:val="center"/>
          </w:tcPr>
          <w:p>
            <w:pPr>
              <w:spacing w:line="400" w:lineRule="exact"/>
              <w:jc w:val="left"/>
              <w:rPr>
                <w:sz w:val="24"/>
              </w:rPr>
            </w:pPr>
            <w:r>
              <w:rPr>
                <w:rFonts w:hint="eastAsia" w:ascii="宋体" w:hAnsi="宋体"/>
                <w:sz w:val="24"/>
              </w:rPr>
              <w:t>□</w:t>
            </w:r>
            <w:r>
              <w:rPr>
                <w:sz w:val="24"/>
              </w:rPr>
              <w:t>其他</w:t>
            </w:r>
          </w:p>
        </w:tc>
        <w:tc>
          <w:tcPr>
            <w:tcW w:w="5934" w:type="dxa"/>
            <w:vAlign w:val="center"/>
          </w:tcPr>
          <w:p>
            <w:pPr>
              <w:spacing w:line="400" w:lineRule="exact"/>
              <w:rPr>
                <w:sz w:val="24"/>
              </w:rPr>
            </w:pPr>
            <w:r>
              <w:rPr>
                <w:rFonts w:hint="eastAsia"/>
                <w:sz w:val="24"/>
              </w:rPr>
              <w:t>代建、房地产开发、</w:t>
            </w:r>
            <w:r>
              <w:rPr>
                <w:rFonts w:hint="eastAsia"/>
                <w:bCs/>
                <w:sz w:val="24"/>
              </w:rPr>
              <w:t>运行维护等</w:t>
            </w:r>
            <w:r>
              <w:rPr>
                <w:rFonts w:hint="eastAsia"/>
                <w:sz w:val="24"/>
              </w:rPr>
              <w:t>，</w:t>
            </w:r>
            <w:r>
              <w:rPr>
                <w:sz w:val="24"/>
              </w:rPr>
              <w:t>招标人根据项目情况</w:t>
            </w:r>
            <w:r>
              <w:rPr>
                <w:rFonts w:hint="eastAsia"/>
                <w:sz w:val="24"/>
              </w:rPr>
              <w:t>需要合理增设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Align w:val="center"/>
          </w:tcPr>
          <w:p>
            <w:pPr>
              <w:spacing w:line="400" w:lineRule="exact"/>
              <w:jc w:val="left"/>
              <w:rPr>
                <w:sz w:val="24"/>
              </w:rPr>
            </w:pPr>
            <w:r>
              <w:rPr>
                <w:rFonts w:hint="eastAsia"/>
                <w:bCs/>
                <w:color w:val="000000"/>
                <w:sz w:val="24"/>
              </w:rPr>
              <w:t>□</w:t>
            </w:r>
            <w:r>
              <w:rPr>
                <w:rFonts w:hint="eastAsia"/>
                <w:color w:val="000000"/>
                <w:sz w:val="24"/>
              </w:rPr>
              <w:t>统筹协调</w:t>
            </w:r>
          </w:p>
        </w:tc>
        <w:tc>
          <w:tcPr>
            <w:tcW w:w="7493" w:type="dxa"/>
            <w:gridSpan w:val="2"/>
            <w:vAlign w:val="center"/>
          </w:tcPr>
          <w:p>
            <w:pPr>
              <w:spacing w:line="400" w:lineRule="exact"/>
              <w:rPr>
                <w:sz w:val="24"/>
              </w:rPr>
            </w:pPr>
            <w:r>
              <w:rPr>
                <w:rFonts w:hint="eastAsia"/>
                <w:color w:val="000000"/>
                <w:sz w:val="24"/>
              </w:rPr>
              <w:t>对各项管理咨询及项目内外的统筹协调工作方案的合理性、科学性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Align w:val="center"/>
          </w:tcPr>
          <w:p>
            <w:pPr>
              <w:spacing w:line="400" w:lineRule="exact"/>
              <w:jc w:val="left"/>
              <w:rPr>
                <w:sz w:val="24"/>
              </w:rPr>
            </w:pPr>
            <w:r>
              <w:rPr>
                <w:sz w:val="24"/>
              </w:rPr>
              <w:t>相关项目建设建议（若有）</w:t>
            </w:r>
          </w:p>
        </w:tc>
        <w:tc>
          <w:tcPr>
            <w:tcW w:w="7493" w:type="dxa"/>
            <w:gridSpan w:val="2"/>
            <w:vAlign w:val="center"/>
          </w:tcPr>
          <w:p>
            <w:pPr>
              <w:spacing w:line="400" w:lineRule="exact"/>
              <w:rPr>
                <w:sz w:val="24"/>
              </w:rPr>
            </w:pPr>
            <w:r>
              <w:rPr>
                <w:sz w:val="24"/>
              </w:rPr>
              <w:t>建议是否科学、合理、有针对性</w:t>
            </w:r>
            <w:r>
              <w:rPr>
                <w:rFonts w:hint="eastAsia"/>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1276" w:type="dxa"/>
            <w:vAlign w:val="center"/>
          </w:tcPr>
          <w:p>
            <w:pPr>
              <w:spacing w:line="400" w:lineRule="exact"/>
              <w:jc w:val="left"/>
              <w:rPr>
                <w:sz w:val="24"/>
              </w:rPr>
            </w:pPr>
            <w:r>
              <w:rPr>
                <w:sz w:val="24"/>
              </w:rPr>
              <w:t>投标人陈述和答辩</w:t>
            </w:r>
          </w:p>
        </w:tc>
        <w:tc>
          <w:tcPr>
            <w:tcW w:w="7493" w:type="dxa"/>
            <w:gridSpan w:val="2"/>
            <w:vAlign w:val="center"/>
          </w:tcPr>
          <w:p>
            <w:pPr>
              <w:spacing w:line="400" w:lineRule="exact"/>
              <w:jc w:val="center"/>
              <w:rPr>
                <w:sz w:val="24"/>
              </w:rPr>
            </w:pPr>
            <w:r>
              <w:rPr>
                <w:sz w:val="24"/>
              </w:rPr>
              <w:t>（若有）</w:t>
            </w:r>
          </w:p>
        </w:tc>
      </w:tr>
    </w:tbl>
    <w:p>
      <w:pPr>
        <w:spacing w:line="400" w:lineRule="exact"/>
        <w:ind w:firstLine="640" w:firstLineChars="200"/>
        <w:rPr>
          <w:rFonts w:eastAsia="黑体"/>
          <w:sz w:val="24"/>
        </w:rPr>
      </w:pPr>
      <w:r>
        <w:rPr>
          <w:rFonts w:hint="eastAsia" w:eastAsia="黑体"/>
          <w:szCs w:val="21"/>
        </w:rPr>
        <w:t xml:space="preserve"> </w:t>
      </w:r>
    </w:p>
    <w:p>
      <w:pPr>
        <w:spacing w:line="480" w:lineRule="exact"/>
        <w:ind w:firstLine="643" w:firstLineChars="200"/>
        <w:rPr>
          <w:rFonts w:ascii="仿宋" w:hAnsi="仿宋" w:eastAsia="仿宋"/>
          <w:b/>
          <w:szCs w:val="32"/>
        </w:rPr>
      </w:pPr>
      <w:r>
        <w:rPr>
          <w:rFonts w:ascii="仿宋" w:hAnsi="仿宋" w:eastAsia="仿宋"/>
          <w:b/>
          <w:szCs w:val="32"/>
        </w:rPr>
        <w:t>四、</w:t>
      </w:r>
      <w:r>
        <w:rPr>
          <w:rFonts w:hint="eastAsia" w:ascii="仿宋" w:hAnsi="仿宋" w:eastAsia="仿宋"/>
          <w:b/>
          <w:szCs w:val="32"/>
        </w:rPr>
        <w:t>符合性</w:t>
      </w:r>
      <w:r>
        <w:rPr>
          <w:rFonts w:ascii="仿宋" w:hAnsi="仿宋" w:eastAsia="仿宋"/>
          <w:b/>
          <w:szCs w:val="32"/>
        </w:rPr>
        <w:t>评审</w:t>
      </w:r>
    </w:p>
    <w:p>
      <w:pPr>
        <w:spacing w:line="480" w:lineRule="exact"/>
        <w:ind w:firstLine="640" w:firstLineChars="200"/>
        <w:rPr>
          <w:rFonts w:ascii="仿宋" w:hAnsi="仿宋" w:eastAsia="仿宋"/>
          <w:szCs w:val="32"/>
        </w:rPr>
      </w:pPr>
      <w:r>
        <w:rPr>
          <w:rFonts w:ascii="仿宋" w:hAnsi="仿宋" w:eastAsia="仿宋"/>
          <w:szCs w:val="32"/>
        </w:rPr>
        <w:t>投标文件存在下列情形之一的，</w:t>
      </w:r>
      <w:r>
        <w:rPr>
          <w:rFonts w:hint="eastAsia" w:ascii="仿宋" w:hAnsi="仿宋" w:eastAsia="仿宋"/>
          <w:szCs w:val="32"/>
        </w:rPr>
        <w:t>符合性</w:t>
      </w:r>
      <w:r>
        <w:rPr>
          <w:rFonts w:ascii="仿宋" w:hAnsi="仿宋" w:eastAsia="仿宋"/>
          <w:szCs w:val="32"/>
        </w:rPr>
        <w:t>评审不予通过，否决其投标：</w:t>
      </w:r>
    </w:p>
    <w:p>
      <w:pPr>
        <w:spacing w:line="480" w:lineRule="exact"/>
        <w:ind w:firstLine="420"/>
        <w:rPr>
          <w:rFonts w:ascii="仿宋" w:hAnsi="仿宋" w:eastAsia="仿宋"/>
          <w:szCs w:val="32"/>
        </w:rPr>
      </w:pPr>
      <w:r>
        <w:rPr>
          <w:rFonts w:ascii="仿宋" w:hAnsi="仿宋" w:eastAsia="仿宋"/>
          <w:szCs w:val="32"/>
        </w:rPr>
        <w:t>（一）投标文件未经投标人盖章</w:t>
      </w:r>
      <w:r>
        <w:rPr>
          <w:rFonts w:hint="eastAsia" w:ascii="仿宋" w:hAnsi="仿宋" w:eastAsia="仿宋"/>
          <w:szCs w:val="32"/>
        </w:rPr>
        <w:t>和</w:t>
      </w:r>
      <w:r>
        <w:rPr>
          <w:rFonts w:ascii="仿宋" w:hAnsi="仿宋" w:eastAsia="仿宋"/>
          <w:szCs w:val="32"/>
        </w:rPr>
        <w:t>法定代表人</w:t>
      </w:r>
      <w:r>
        <w:rPr>
          <w:rFonts w:hint="eastAsia" w:ascii="仿宋" w:hAnsi="仿宋" w:eastAsia="仿宋"/>
          <w:szCs w:val="32"/>
        </w:rPr>
        <w:t>（或授权委托人）</w:t>
      </w:r>
      <w:r>
        <w:rPr>
          <w:rFonts w:ascii="仿宋" w:hAnsi="仿宋" w:eastAsia="仿宋"/>
          <w:szCs w:val="32"/>
        </w:rPr>
        <w:t>签字</w:t>
      </w:r>
      <w:r>
        <w:rPr>
          <w:rFonts w:hint="eastAsia" w:ascii="仿宋" w:hAnsi="仿宋" w:eastAsia="仿宋"/>
          <w:szCs w:val="32"/>
        </w:rPr>
        <w:t>（或盖章）</w:t>
      </w:r>
      <w:r>
        <w:rPr>
          <w:rFonts w:ascii="仿宋" w:hAnsi="仿宋" w:eastAsia="仿宋"/>
          <w:szCs w:val="32"/>
        </w:rPr>
        <w:t>的；</w:t>
      </w:r>
    </w:p>
    <w:p>
      <w:pPr>
        <w:spacing w:line="480" w:lineRule="exact"/>
        <w:ind w:firstLine="420"/>
        <w:rPr>
          <w:rFonts w:ascii="仿宋" w:hAnsi="仿宋" w:eastAsia="仿宋"/>
          <w:szCs w:val="32"/>
        </w:rPr>
      </w:pPr>
      <w:r>
        <w:rPr>
          <w:rFonts w:ascii="仿宋" w:hAnsi="仿宋" w:eastAsia="仿宋"/>
          <w:szCs w:val="32"/>
        </w:rPr>
        <w:t>（二）</w:t>
      </w:r>
      <w:r>
        <w:rPr>
          <w:rFonts w:hint="eastAsia" w:ascii="仿宋" w:hAnsi="仿宋" w:eastAsia="仿宋"/>
          <w:szCs w:val="32"/>
        </w:rPr>
        <w:t>投标函未加盖投标人公章的；</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三</w:t>
      </w:r>
      <w:r>
        <w:rPr>
          <w:rFonts w:ascii="仿宋" w:hAnsi="仿宋" w:eastAsia="仿宋"/>
          <w:szCs w:val="32"/>
        </w:rPr>
        <w:t>）投标文件未按规定的格式填写，关键内容缺失的(含投标承诺书)；</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四</w:t>
      </w:r>
      <w:r>
        <w:rPr>
          <w:rFonts w:ascii="仿宋" w:hAnsi="仿宋" w:eastAsia="仿宋"/>
          <w:szCs w:val="32"/>
        </w:rPr>
        <w:t>）投标人递交两份或多份内容不同的投标文件，或在一份投标文件中对同一招标项目报有两个或多个报价，且未声明哪一个有效，按招标文件规定提交备选投标方案的除外；</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五</w:t>
      </w:r>
      <w:r>
        <w:rPr>
          <w:rFonts w:ascii="仿宋" w:hAnsi="仿宋" w:eastAsia="仿宋"/>
          <w:szCs w:val="32"/>
        </w:rPr>
        <w:t>）投标人或组织结构（包括项目负责人）与开标时提供的名称不一致的；</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六</w:t>
      </w:r>
      <w:r>
        <w:rPr>
          <w:rFonts w:ascii="仿宋" w:hAnsi="仿宋" w:eastAsia="仿宋"/>
          <w:szCs w:val="32"/>
        </w:rPr>
        <w:t>）</w:t>
      </w:r>
      <w:r>
        <w:rPr>
          <w:rFonts w:ascii="仿宋" w:hAnsi="仿宋" w:eastAsia="仿宋"/>
          <w:bCs/>
          <w:szCs w:val="32"/>
        </w:rPr>
        <w:t>投标文件不能满足招标文件载明</w:t>
      </w:r>
      <w:r>
        <w:rPr>
          <w:rFonts w:ascii="仿宋" w:hAnsi="仿宋" w:eastAsia="仿宋"/>
          <w:szCs w:val="32"/>
        </w:rPr>
        <w:t>的</w:t>
      </w:r>
      <w:r>
        <w:rPr>
          <w:rFonts w:hint="eastAsia" w:ascii="仿宋" w:hAnsi="仿宋" w:eastAsia="仿宋"/>
          <w:szCs w:val="32"/>
        </w:rPr>
        <w:t>相关人员</w:t>
      </w:r>
      <w:r>
        <w:rPr>
          <w:rFonts w:ascii="仿宋" w:hAnsi="仿宋" w:eastAsia="仿宋"/>
          <w:szCs w:val="32"/>
        </w:rPr>
        <w:t>到位率、咨询服务期</w:t>
      </w:r>
      <w:r>
        <w:rPr>
          <w:rFonts w:hint="eastAsia" w:ascii="仿宋" w:hAnsi="仿宋" w:eastAsia="仿宋"/>
          <w:szCs w:val="32"/>
        </w:rPr>
        <w:t>、商务报价有关规定要求</w:t>
      </w:r>
      <w:r>
        <w:rPr>
          <w:rFonts w:ascii="仿宋" w:hAnsi="仿宋" w:eastAsia="仿宋"/>
          <w:szCs w:val="32"/>
        </w:rPr>
        <w:t>的</w:t>
      </w:r>
      <w:r>
        <w:rPr>
          <w:rFonts w:hint="eastAsia" w:ascii="仿宋" w:hAnsi="仿宋" w:eastAsia="仿宋"/>
          <w:szCs w:val="32"/>
        </w:rPr>
        <w:t>；</w:t>
      </w:r>
    </w:p>
    <w:p>
      <w:pPr>
        <w:spacing w:line="480" w:lineRule="exact"/>
        <w:ind w:firstLine="420"/>
        <w:rPr>
          <w:rFonts w:ascii="仿宋" w:hAnsi="仿宋" w:eastAsia="仿宋"/>
          <w:szCs w:val="32"/>
        </w:rPr>
      </w:pPr>
      <w:r>
        <w:rPr>
          <w:rFonts w:ascii="仿宋" w:hAnsi="仿宋" w:eastAsia="仿宋"/>
          <w:bCs/>
          <w:szCs w:val="32"/>
        </w:rPr>
        <w:t>（</w:t>
      </w:r>
      <w:r>
        <w:rPr>
          <w:rFonts w:hint="eastAsia" w:ascii="仿宋" w:hAnsi="仿宋" w:eastAsia="仿宋"/>
          <w:bCs/>
          <w:szCs w:val="32"/>
        </w:rPr>
        <w:t>七</w:t>
      </w:r>
      <w:r>
        <w:rPr>
          <w:rFonts w:ascii="仿宋" w:hAnsi="仿宋" w:eastAsia="仿宋"/>
          <w:bCs/>
          <w:szCs w:val="32"/>
        </w:rPr>
        <w:t>）</w:t>
      </w:r>
      <w:r>
        <w:rPr>
          <w:rFonts w:ascii="仿宋" w:hAnsi="仿宋" w:eastAsia="仿宋"/>
          <w:szCs w:val="32"/>
        </w:rPr>
        <w:t>投标报价高于最高限价的；</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八</w:t>
      </w:r>
      <w:r>
        <w:rPr>
          <w:rFonts w:ascii="仿宋" w:hAnsi="仿宋" w:eastAsia="仿宋"/>
          <w:szCs w:val="32"/>
        </w:rPr>
        <w:t>）投标</w:t>
      </w:r>
      <w:r>
        <w:rPr>
          <w:rFonts w:hint="eastAsia" w:ascii="仿宋" w:hAnsi="仿宋" w:eastAsia="仿宋"/>
          <w:szCs w:val="32"/>
        </w:rPr>
        <w:t>文件不能满足招标文件载明的工程验收标准的；</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九</w:t>
      </w:r>
      <w:r>
        <w:rPr>
          <w:rFonts w:ascii="仿宋" w:hAnsi="仿宋" w:eastAsia="仿宋"/>
          <w:szCs w:val="32"/>
        </w:rPr>
        <w:t>）组成联合体投标的，投标文件未附联合体各方共同投标协议的；</w:t>
      </w:r>
    </w:p>
    <w:p>
      <w:pPr>
        <w:spacing w:line="480" w:lineRule="exact"/>
        <w:ind w:firstLine="420"/>
        <w:rPr>
          <w:rFonts w:ascii="仿宋" w:hAnsi="仿宋" w:eastAsia="仿宋"/>
          <w:szCs w:val="32"/>
        </w:rPr>
      </w:pPr>
      <w:r>
        <w:rPr>
          <w:rFonts w:ascii="仿宋" w:hAnsi="仿宋" w:eastAsia="仿宋"/>
          <w:bCs/>
          <w:szCs w:val="32"/>
        </w:rPr>
        <w:t>（</w:t>
      </w:r>
      <w:r>
        <w:rPr>
          <w:rFonts w:hint="eastAsia" w:ascii="仿宋" w:hAnsi="仿宋" w:eastAsia="仿宋"/>
          <w:szCs w:val="32"/>
        </w:rPr>
        <w:t>十</w:t>
      </w:r>
      <w:r>
        <w:rPr>
          <w:rFonts w:ascii="仿宋" w:hAnsi="仿宋" w:eastAsia="仿宋"/>
          <w:szCs w:val="32"/>
        </w:rPr>
        <w:t>）投标人提供的纸质投标水印码与电子投标文件不一致的；</w:t>
      </w:r>
    </w:p>
    <w:p>
      <w:pPr>
        <w:spacing w:line="480" w:lineRule="exact"/>
        <w:ind w:firstLine="420"/>
        <w:rPr>
          <w:rFonts w:ascii="仿宋" w:hAnsi="仿宋" w:eastAsia="仿宋"/>
          <w:szCs w:val="32"/>
        </w:rPr>
      </w:pPr>
      <w:r>
        <w:rPr>
          <w:rFonts w:ascii="仿宋" w:hAnsi="仿宋" w:eastAsia="仿宋"/>
          <w:szCs w:val="32"/>
        </w:rPr>
        <w:t>（</w:t>
      </w:r>
      <w:r>
        <w:rPr>
          <w:rFonts w:hint="eastAsia" w:ascii="仿宋" w:hAnsi="仿宋" w:eastAsia="仿宋"/>
          <w:szCs w:val="32"/>
        </w:rPr>
        <w:t>十一</w:t>
      </w:r>
      <w:r>
        <w:rPr>
          <w:rFonts w:ascii="仿宋" w:hAnsi="仿宋" w:eastAsia="仿宋"/>
          <w:szCs w:val="32"/>
        </w:rPr>
        <w:t>）法律、法规、规章及规范性文件规定其他应否决投标的情形。</w:t>
      </w:r>
    </w:p>
    <w:p>
      <w:pPr>
        <w:spacing w:line="480" w:lineRule="exact"/>
        <w:ind w:firstLine="420"/>
        <w:rPr>
          <w:rFonts w:ascii="仿宋" w:hAnsi="仿宋" w:eastAsia="仿宋"/>
          <w:szCs w:val="32"/>
        </w:rPr>
      </w:pPr>
      <w:r>
        <w:rPr>
          <w:rFonts w:ascii="仿宋" w:hAnsi="仿宋" w:eastAsia="仿宋"/>
          <w:szCs w:val="32"/>
        </w:rPr>
        <w:t xml:space="preserve"> </w:t>
      </w:r>
    </w:p>
    <w:p>
      <w:pPr>
        <w:spacing w:line="480" w:lineRule="exact"/>
        <w:ind w:left="482"/>
        <w:rPr>
          <w:rFonts w:ascii="仿宋" w:hAnsi="仿宋" w:eastAsia="仿宋"/>
          <w:b/>
          <w:szCs w:val="32"/>
        </w:rPr>
      </w:pPr>
      <w:r>
        <w:rPr>
          <w:rFonts w:ascii="仿宋" w:hAnsi="仿宋" w:eastAsia="仿宋"/>
          <w:b/>
          <w:szCs w:val="32"/>
        </w:rPr>
        <w:t>五、资信评审（20分）</w:t>
      </w:r>
    </w:p>
    <w:p>
      <w:pPr>
        <w:spacing w:line="480" w:lineRule="exact"/>
        <w:ind w:firstLine="420"/>
        <w:rPr>
          <w:szCs w:val="32"/>
        </w:rPr>
      </w:pPr>
      <w:r>
        <w:rPr>
          <w:rFonts w:ascii="仿宋" w:hAnsi="仿宋" w:eastAsia="仿宋"/>
          <w:szCs w:val="32"/>
        </w:rPr>
        <w:t>评标委员会对通过资格审查、技术标审查、符合性审查的投标文件进行资信评审，评审主要因素包含综合实力、类似工程业绩、信用评价等。资信评分由评标委员会统一打分，评分时保留</w:t>
      </w:r>
      <w:r>
        <w:rPr>
          <w:rFonts w:hint="eastAsia" w:ascii="仿宋" w:hAnsi="仿宋" w:eastAsia="仿宋"/>
          <w:szCs w:val="32"/>
        </w:rPr>
        <w:t>两</w:t>
      </w:r>
      <w:r>
        <w:rPr>
          <w:rFonts w:ascii="仿宋" w:hAnsi="仿宋" w:eastAsia="仿宋"/>
          <w:szCs w:val="32"/>
        </w:rPr>
        <w:t>位小数。</w:t>
      </w:r>
    </w:p>
    <w:p>
      <w:pPr>
        <w:spacing w:line="400" w:lineRule="exact"/>
        <w:ind w:firstLine="240" w:firstLineChars="100"/>
        <w:jc w:val="center"/>
        <w:rPr>
          <w:sz w:val="24"/>
        </w:rPr>
      </w:pPr>
      <w:r>
        <w:rPr>
          <w:rFonts w:eastAsia="黑体"/>
          <w:sz w:val="24"/>
        </w:rPr>
        <w:t>评审因素表</w:t>
      </w:r>
    </w:p>
    <w:tbl>
      <w:tblPr>
        <w:tblStyle w:val="3"/>
        <w:tblW w:w="79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9"/>
        <w:gridCol w:w="5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649" w:type="dxa"/>
          </w:tcPr>
          <w:p>
            <w:pPr>
              <w:spacing w:line="400" w:lineRule="exact"/>
              <w:ind w:firstLine="420"/>
              <w:jc w:val="center"/>
              <w:rPr>
                <w:sz w:val="24"/>
              </w:rPr>
            </w:pPr>
            <w:r>
              <w:rPr>
                <w:sz w:val="24"/>
              </w:rPr>
              <w:t>评审因素</w:t>
            </w:r>
          </w:p>
        </w:tc>
        <w:tc>
          <w:tcPr>
            <w:tcW w:w="5134" w:type="dxa"/>
          </w:tcPr>
          <w:p>
            <w:pPr>
              <w:spacing w:line="400" w:lineRule="exact"/>
              <w:ind w:firstLine="420"/>
              <w:jc w:val="center"/>
              <w:rPr>
                <w:sz w:val="24"/>
              </w:rPr>
            </w:pPr>
            <w:r>
              <w:rPr>
                <w:sz w:val="24"/>
              </w:rPr>
              <w:t>评审内容</w:t>
            </w:r>
          </w:p>
        </w:tc>
        <w:tc>
          <w:tcPr>
            <w:tcW w:w="1134" w:type="dxa"/>
          </w:tcPr>
          <w:p>
            <w:pPr>
              <w:spacing w:line="400" w:lineRule="exact"/>
              <w:jc w:val="center"/>
              <w:rPr>
                <w:sz w:val="24"/>
              </w:rPr>
            </w:pPr>
            <w:r>
              <w:rPr>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1649" w:type="dxa"/>
            <w:vAlign w:val="center"/>
          </w:tcPr>
          <w:p>
            <w:pPr>
              <w:spacing w:line="400" w:lineRule="exact"/>
              <w:rPr>
                <w:sz w:val="24"/>
              </w:rPr>
            </w:pPr>
            <w:r>
              <w:rPr>
                <w:sz w:val="24"/>
              </w:rPr>
              <w:t>综合实力</w:t>
            </w:r>
          </w:p>
        </w:tc>
        <w:tc>
          <w:tcPr>
            <w:tcW w:w="5134" w:type="dxa"/>
            <w:vAlign w:val="center"/>
          </w:tcPr>
          <w:p>
            <w:pPr>
              <w:spacing w:line="400" w:lineRule="exact"/>
              <w:jc w:val="left"/>
              <w:rPr>
                <w:sz w:val="24"/>
              </w:rPr>
            </w:pPr>
            <w:r>
              <w:rPr>
                <w:rFonts w:hint="eastAsia"/>
                <w:sz w:val="24"/>
              </w:rPr>
              <w:t>财务状况、</w:t>
            </w:r>
            <w:r>
              <w:rPr>
                <w:sz w:val="24"/>
              </w:rPr>
              <w:t>工商信用等级、标准</w:t>
            </w:r>
            <w:r>
              <w:rPr>
                <w:rFonts w:hint="eastAsia"/>
                <w:sz w:val="24"/>
              </w:rPr>
              <w:t>体系</w:t>
            </w:r>
            <w:r>
              <w:rPr>
                <w:sz w:val="24"/>
              </w:rPr>
              <w:t>认证</w:t>
            </w:r>
            <w:r>
              <w:rPr>
                <w:rFonts w:hint="eastAsia"/>
                <w:sz w:val="24"/>
              </w:rPr>
              <w:t xml:space="preserve">等 </w:t>
            </w:r>
          </w:p>
        </w:tc>
        <w:tc>
          <w:tcPr>
            <w:tcW w:w="1134" w:type="dxa"/>
          </w:tcPr>
          <w:p>
            <w:pPr>
              <w:spacing w:line="400" w:lineRule="exact"/>
              <w:jc w:val="center"/>
              <w:rPr>
                <w:color w:val="000000"/>
                <w:sz w:val="24"/>
              </w:rPr>
            </w:pPr>
          </w:p>
          <w:p>
            <w:pPr>
              <w:spacing w:line="400" w:lineRule="exact"/>
              <w:jc w:val="center"/>
              <w:rPr>
                <w:color w:val="000000"/>
                <w:sz w:val="24"/>
              </w:rPr>
            </w:pPr>
            <w:r>
              <w:rPr>
                <w:rFonts w:hint="eastAsia"/>
                <w:b/>
                <w:bCs/>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649" w:type="dxa"/>
            <w:vMerge w:val="restart"/>
            <w:vAlign w:val="center"/>
          </w:tcPr>
          <w:p>
            <w:pPr>
              <w:spacing w:line="400" w:lineRule="exact"/>
              <w:rPr>
                <w:sz w:val="24"/>
              </w:rPr>
            </w:pPr>
            <w:r>
              <w:rPr>
                <w:sz w:val="24"/>
              </w:rPr>
              <w:t>类似工程业绩</w:t>
            </w:r>
          </w:p>
        </w:tc>
        <w:tc>
          <w:tcPr>
            <w:tcW w:w="5134" w:type="dxa"/>
            <w:vAlign w:val="center"/>
          </w:tcPr>
          <w:p>
            <w:pPr>
              <w:spacing w:line="400" w:lineRule="exact"/>
              <w:jc w:val="left"/>
              <w:rPr>
                <w:sz w:val="24"/>
              </w:rPr>
            </w:pPr>
            <w:r>
              <w:rPr>
                <w:sz w:val="24"/>
              </w:rPr>
              <w:t>企业业绩</w:t>
            </w:r>
          </w:p>
          <w:p>
            <w:pPr>
              <w:spacing w:line="400" w:lineRule="exact"/>
              <w:jc w:val="left"/>
              <w:rPr>
                <w:sz w:val="24"/>
              </w:rPr>
            </w:pPr>
            <w:r>
              <w:rPr>
                <w:rFonts w:hint="eastAsia"/>
                <w:bCs/>
                <w:sz w:val="24"/>
              </w:rPr>
              <w:t>全过程咨询及与本标段招标范围相关的专业咨询业绩</w:t>
            </w:r>
          </w:p>
        </w:tc>
        <w:tc>
          <w:tcPr>
            <w:tcW w:w="1134" w:type="dxa"/>
            <w:vAlign w:val="center"/>
          </w:tcPr>
          <w:p>
            <w:pPr>
              <w:spacing w:line="400" w:lineRule="exact"/>
              <w:jc w:val="center"/>
              <w:rPr>
                <w:color w:val="000000"/>
                <w:sz w:val="24"/>
              </w:rPr>
            </w:pPr>
            <w:r>
              <w:rPr>
                <w:rFonts w:hint="eastAsia"/>
                <w:b/>
                <w:bCs/>
                <w:color w:val="00000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6" w:hRule="atLeast"/>
          <w:jc w:val="center"/>
        </w:trPr>
        <w:tc>
          <w:tcPr>
            <w:tcW w:w="1649" w:type="dxa"/>
            <w:vMerge w:val="continue"/>
            <w:vAlign w:val="center"/>
          </w:tcPr>
          <w:p>
            <w:pPr>
              <w:spacing w:line="400" w:lineRule="exact"/>
              <w:ind w:firstLine="420"/>
              <w:rPr>
                <w:sz w:val="24"/>
              </w:rPr>
            </w:pPr>
          </w:p>
        </w:tc>
        <w:tc>
          <w:tcPr>
            <w:tcW w:w="5134" w:type="dxa"/>
            <w:vAlign w:val="center"/>
          </w:tcPr>
          <w:p>
            <w:pPr>
              <w:spacing w:line="400" w:lineRule="exact"/>
              <w:jc w:val="left"/>
              <w:rPr>
                <w:bCs/>
                <w:sz w:val="24"/>
              </w:rPr>
            </w:pPr>
            <w:r>
              <w:rPr>
                <w:bCs/>
                <w:sz w:val="24"/>
              </w:rPr>
              <w:t>人员业绩</w:t>
            </w:r>
          </w:p>
          <w:p>
            <w:pPr>
              <w:spacing w:line="400" w:lineRule="exact"/>
              <w:ind w:firstLine="240" w:firstLineChars="100"/>
              <w:jc w:val="left"/>
              <w:rPr>
                <w:color w:val="000000"/>
                <w:sz w:val="24"/>
              </w:rPr>
            </w:pPr>
            <w:r>
              <w:rPr>
                <w:rFonts w:hint="eastAsia"/>
                <w:bCs/>
                <w:sz w:val="24"/>
              </w:rPr>
              <w:t xml:space="preserve">项目负责人及与本标段招标范围相关的注册类执业资格人员业绩 </w:t>
            </w:r>
          </w:p>
        </w:tc>
        <w:tc>
          <w:tcPr>
            <w:tcW w:w="1134" w:type="dxa"/>
            <w:vAlign w:val="center"/>
          </w:tcPr>
          <w:p>
            <w:pPr>
              <w:spacing w:line="400" w:lineRule="exact"/>
              <w:jc w:val="center"/>
              <w:rPr>
                <w:color w:val="000000"/>
                <w:sz w:val="24"/>
              </w:rPr>
            </w:pPr>
            <w:r>
              <w:rPr>
                <w:rFonts w:hint="eastAsia"/>
                <w:b/>
                <w:bCs/>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1649" w:type="dxa"/>
            <w:vAlign w:val="center"/>
          </w:tcPr>
          <w:p>
            <w:pPr>
              <w:spacing w:line="400" w:lineRule="exact"/>
              <w:rPr>
                <w:sz w:val="24"/>
              </w:rPr>
            </w:pPr>
            <w:r>
              <w:rPr>
                <w:sz w:val="24"/>
              </w:rPr>
              <w:t>信用评价</w:t>
            </w:r>
          </w:p>
        </w:tc>
        <w:tc>
          <w:tcPr>
            <w:tcW w:w="5134" w:type="dxa"/>
            <w:vAlign w:val="center"/>
          </w:tcPr>
          <w:p>
            <w:pPr>
              <w:spacing w:line="400" w:lineRule="exact"/>
              <w:jc w:val="left"/>
              <w:rPr>
                <w:sz w:val="24"/>
              </w:rPr>
            </w:pPr>
            <w:r>
              <w:rPr>
                <w:sz w:val="24"/>
              </w:rPr>
              <w:t>建设行政主管部门信用评价</w:t>
            </w:r>
            <w:r>
              <w:rPr>
                <w:rFonts w:hint="eastAsia"/>
                <w:sz w:val="24"/>
              </w:rPr>
              <w:t>（暂按资质要求的类型均分、叠加）</w:t>
            </w:r>
          </w:p>
        </w:tc>
        <w:tc>
          <w:tcPr>
            <w:tcW w:w="1134" w:type="dxa"/>
            <w:vAlign w:val="center"/>
          </w:tcPr>
          <w:p>
            <w:pPr>
              <w:spacing w:line="400" w:lineRule="exact"/>
              <w:jc w:val="center"/>
              <w:rPr>
                <w:color w:val="000000"/>
                <w:sz w:val="24"/>
              </w:rPr>
            </w:pPr>
            <w:r>
              <w:rPr>
                <w:rFonts w:hint="eastAsia"/>
                <w:b/>
                <w:bCs/>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1649" w:type="dxa"/>
            <w:tcBorders>
              <w:bottom w:val="single" w:color="auto" w:sz="4" w:space="0"/>
            </w:tcBorders>
            <w:vAlign w:val="center"/>
          </w:tcPr>
          <w:p>
            <w:pPr>
              <w:spacing w:line="400" w:lineRule="exact"/>
              <w:rPr>
                <w:bCs/>
                <w:sz w:val="24"/>
              </w:rPr>
            </w:pPr>
            <w:r>
              <w:rPr>
                <w:bCs/>
                <w:sz w:val="24"/>
              </w:rPr>
              <w:t>团队配备</w:t>
            </w:r>
          </w:p>
        </w:tc>
        <w:tc>
          <w:tcPr>
            <w:tcW w:w="5134" w:type="dxa"/>
            <w:vAlign w:val="center"/>
          </w:tcPr>
          <w:p>
            <w:pPr>
              <w:spacing w:line="400" w:lineRule="exact"/>
              <w:jc w:val="left"/>
              <w:rPr>
                <w:bCs/>
                <w:sz w:val="24"/>
              </w:rPr>
            </w:pPr>
            <w:r>
              <w:rPr>
                <w:bCs/>
                <w:sz w:val="24"/>
              </w:rPr>
              <w:t>团队专业能力配备情况，项目负责人及各专业负责人执业资格、从业年限、职称、其他主要人员资格等综合情况要求</w:t>
            </w:r>
            <w:r>
              <w:rPr>
                <w:rFonts w:hint="eastAsia"/>
                <w:bCs/>
                <w:sz w:val="24"/>
              </w:rPr>
              <w:t xml:space="preserve"> </w:t>
            </w:r>
          </w:p>
        </w:tc>
        <w:tc>
          <w:tcPr>
            <w:tcW w:w="1134" w:type="dxa"/>
          </w:tcPr>
          <w:p>
            <w:pPr>
              <w:spacing w:line="400" w:lineRule="exact"/>
              <w:jc w:val="center"/>
              <w:rPr>
                <w:color w:val="000000"/>
                <w:sz w:val="24"/>
              </w:rPr>
            </w:pPr>
          </w:p>
          <w:p>
            <w:pPr>
              <w:spacing w:line="400" w:lineRule="exact"/>
              <w:jc w:val="center"/>
              <w:rPr>
                <w:color w:val="000000"/>
                <w:sz w:val="24"/>
              </w:rPr>
            </w:pPr>
            <w:r>
              <w:rPr>
                <w:rFonts w:hint="eastAsia"/>
                <w:b/>
                <w:bCs/>
                <w:color w:val="000000"/>
                <w:sz w:val="24"/>
              </w:rPr>
              <w:t>4</w:t>
            </w:r>
          </w:p>
        </w:tc>
      </w:tr>
    </w:tbl>
    <w:p>
      <w:pPr>
        <w:spacing w:line="480" w:lineRule="exact"/>
        <w:ind w:firstLine="420"/>
        <w:rPr>
          <w:rFonts w:ascii="仿宋" w:hAnsi="仿宋" w:eastAsia="仿宋"/>
          <w:szCs w:val="32"/>
        </w:rPr>
      </w:pPr>
      <w:r>
        <w:rPr>
          <w:rFonts w:ascii="仿宋" w:hAnsi="仿宋" w:eastAsia="仿宋"/>
          <w:szCs w:val="32"/>
        </w:rPr>
        <w:t>上表中的信用评价根据杭州信用监管平台记录的开标前第3个月（不含本月）往前累计12个月度的信用合计分值（如2019年12月7日开标，按2019年9月份～2018年10月份累计）进行排序，无信用记分记录的</w:t>
      </w:r>
      <w:r>
        <w:rPr>
          <w:rFonts w:hint="eastAsia" w:ascii="仿宋" w:hAnsi="仿宋" w:eastAsia="仿宋"/>
          <w:szCs w:val="32"/>
        </w:rPr>
        <w:t>信用分</w:t>
      </w:r>
      <w:r>
        <w:rPr>
          <w:rFonts w:ascii="仿宋" w:hAnsi="仿宋" w:eastAsia="仿宋"/>
          <w:szCs w:val="32"/>
        </w:rPr>
        <w:t>按0分计。</w:t>
      </w:r>
    </w:p>
    <w:p>
      <w:pPr>
        <w:widowControl/>
        <w:spacing w:line="480" w:lineRule="exact"/>
        <w:ind w:firstLine="480"/>
        <w:rPr>
          <w:rFonts w:ascii="仿宋" w:hAnsi="仿宋" w:eastAsia="仿宋"/>
          <w:bCs/>
          <w:szCs w:val="32"/>
        </w:rPr>
      </w:pPr>
      <w:r>
        <w:rPr>
          <w:rFonts w:ascii="仿宋" w:hAnsi="仿宋" w:eastAsia="仿宋"/>
          <w:bCs/>
          <w:szCs w:val="32"/>
        </w:rPr>
        <w:t>企业（设计/监理/</w:t>
      </w:r>
      <w:r>
        <w:rPr>
          <w:rFonts w:hint="eastAsia" w:ascii="仿宋" w:hAnsi="仿宋" w:eastAsia="仿宋"/>
          <w:bCs/>
          <w:szCs w:val="32"/>
        </w:rPr>
        <w:t>造价咨询等，根据联合体成员的职责分工分别读取叠加</w:t>
      </w:r>
      <w:r>
        <w:rPr>
          <w:rFonts w:ascii="仿宋" w:hAnsi="仿宋" w:eastAsia="仿宋"/>
          <w:bCs/>
          <w:szCs w:val="32"/>
        </w:rPr>
        <w:t>）信用评价分从高到低排序，排名第一的得</w:t>
      </w:r>
      <w:r>
        <w:rPr>
          <w:rFonts w:hint="eastAsia" w:ascii="仿宋" w:hAnsi="仿宋" w:eastAsia="仿宋"/>
          <w:bCs/>
          <w:szCs w:val="32"/>
        </w:rPr>
        <w:t>3</w:t>
      </w:r>
      <w:r>
        <w:rPr>
          <w:rFonts w:ascii="仿宋" w:hAnsi="仿宋" w:eastAsia="仿宋"/>
          <w:bCs/>
          <w:szCs w:val="32"/>
        </w:rPr>
        <w:t>分，排名第二的得</w:t>
      </w:r>
      <w:r>
        <w:rPr>
          <w:rFonts w:hint="eastAsia" w:ascii="仿宋" w:hAnsi="仿宋" w:eastAsia="仿宋"/>
          <w:bCs/>
          <w:szCs w:val="32"/>
        </w:rPr>
        <w:t>2</w:t>
      </w:r>
      <w:r>
        <w:rPr>
          <w:rFonts w:ascii="仿宋" w:hAnsi="仿宋" w:eastAsia="仿宋"/>
          <w:bCs/>
          <w:szCs w:val="32"/>
        </w:rPr>
        <w:t>.</w:t>
      </w:r>
      <w:r>
        <w:rPr>
          <w:rFonts w:hint="eastAsia" w:ascii="仿宋" w:hAnsi="仿宋" w:eastAsia="仿宋"/>
          <w:bCs/>
          <w:szCs w:val="32"/>
        </w:rPr>
        <w:t>7</w:t>
      </w:r>
      <w:r>
        <w:rPr>
          <w:rFonts w:ascii="仿宋" w:hAnsi="仿宋" w:eastAsia="仿宋"/>
          <w:bCs/>
          <w:szCs w:val="32"/>
        </w:rPr>
        <w:t>分，排名第三的得</w:t>
      </w:r>
      <w:r>
        <w:rPr>
          <w:rFonts w:hint="eastAsia" w:ascii="仿宋" w:hAnsi="仿宋" w:eastAsia="仿宋"/>
          <w:bCs/>
          <w:szCs w:val="32"/>
        </w:rPr>
        <w:t>2.4</w:t>
      </w:r>
      <w:r>
        <w:rPr>
          <w:rFonts w:ascii="仿宋" w:hAnsi="仿宋" w:eastAsia="仿宋"/>
          <w:bCs/>
          <w:szCs w:val="32"/>
        </w:rPr>
        <w:t>分，依次递减至0分，最少得0分（根据市场实际情况动态调整；排名相同的得分相同，如排名第一有3家并列，则均得</w:t>
      </w:r>
      <w:r>
        <w:rPr>
          <w:rFonts w:hint="eastAsia" w:ascii="仿宋" w:hAnsi="仿宋" w:eastAsia="仿宋"/>
          <w:bCs/>
          <w:szCs w:val="32"/>
        </w:rPr>
        <w:t>3</w:t>
      </w:r>
      <w:r>
        <w:rPr>
          <w:rFonts w:ascii="仿宋" w:hAnsi="仿宋" w:eastAsia="仿宋"/>
          <w:bCs/>
          <w:szCs w:val="32"/>
        </w:rPr>
        <w:t>分，之后的列为排名第二，得</w:t>
      </w:r>
      <w:r>
        <w:rPr>
          <w:rFonts w:hint="eastAsia" w:ascii="仿宋" w:hAnsi="仿宋" w:eastAsia="仿宋"/>
          <w:bCs/>
          <w:szCs w:val="32"/>
        </w:rPr>
        <w:t>2</w:t>
      </w:r>
      <w:r>
        <w:rPr>
          <w:rFonts w:ascii="仿宋" w:hAnsi="仿宋" w:eastAsia="仿宋"/>
          <w:bCs/>
          <w:szCs w:val="32"/>
        </w:rPr>
        <w:t>.</w:t>
      </w:r>
      <w:r>
        <w:rPr>
          <w:rFonts w:hint="eastAsia" w:ascii="仿宋" w:hAnsi="仿宋" w:eastAsia="仿宋"/>
          <w:bCs/>
          <w:szCs w:val="32"/>
        </w:rPr>
        <w:t>7</w:t>
      </w:r>
      <w:r>
        <w:rPr>
          <w:rFonts w:ascii="仿宋" w:hAnsi="仿宋" w:eastAsia="仿宋"/>
          <w:bCs/>
          <w:szCs w:val="32"/>
        </w:rPr>
        <w:t>分；依次类推）。</w:t>
      </w:r>
    </w:p>
    <w:p>
      <w:pPr>
        <w:pStyle w:val="6"/>
        <w:spacing w:line="480" w:lineRule="exact"/>
        <w:ind w:firstLine="640" w:firstLineChars="200"/>
        <w:rPr>
          <w:rFonts w:ascii="仿宋" w:hAnsi="仿宋" w:eastAsia="仿宋"/>
          <w:color w:val="auto"/>
          <w:sz w:val="32"/>
          <w:szCs w:val="32"/>
        </w:rPr>
      </w:pPr>
      <w:r>
        <w:rPr>
          <w:rFonts w:ascii="仿宋" w:hAnsi="仿宋" w:eastAsia="仿宋"/>
          <w:color w:val="auto"/>
          <w:sz w:val="32"/>
          <w:szCs w:val="32"/>
          <w:shd w:val="clear" w:color="auto" w:fill="FFFFFF"/>
        </w:rPr>
        <w:t>资信分</w:t>
      </w:r>
      <w:r>
        <w:rPr>
          <w:rFonts w:ascii="仿宋" w:hAnsi="仿宋" w:eastAsia="仿宋"/>
          <w:color w:val="auto"/>
          <w:sz w:val="32"/>
          <w:szCs w:val="32"/>
        </w:rPr>
        <w:t>评分时保留两位小数</w:t>
      </w:r>
      <w:r>
        <w:rPr>
          <w:rFonts w:hint="eastAsia" w:ascii="仿宋" w:hAnsi="仿宋" w:eastAsia="仿宋"/>
          <w:color w:val="auto"/>
          <w:sz w:val="32"/>
          <w:szCs w:val="32"/>
        </w:rPr>
        <w:t>。</w:t>
      </w:r>
    </w:p>
    <w:p>
      <w:pPr>
        <w:spacing w:line="480" w:lineRule="exact"/>
        <w:ind w:left="480"/>
        <w:rPr>
          <w:rFonts w:ascii="仿宋" w:hAnsi="仿宋" w:eastAsia="仿宋"/>
          <w:b/>
          <w:szCs w:val="32"/>
        </w:rPr>
      </w:pPr>
    </w:p>
    <w:p>
      <w:pPr>
        <w:spacing w:line="480" w:lineRule="exact"/>
        <w:ind w:left="480"/>
        <w:rPr>
          <w:rFonts w:ascii="仿宋" w:hAnsi="仿宋" w:eastAsia="仿宋"/>
          <w:b/>
          <w:szCs w:val="32"/>
        </w:rPr>
      </w:pPr>
      <w:r>
        <w:rPr>
          <w:rFonts w:ascii="仿宋" w:hAnsi="仿宋" w:eastAsia="仿宋"/>
          <w:b/>
          <w:szCs w:val="32"/>
        </w:rPr>
        <w:t>六、商务评审（20分</w:t>
      </w:r>
      <w:r>
        <w:rPr>
          <w:rFonts w:hint="eastAsia" w:ascii="仿宋" w:hAnsi="仿宋" w:eastAsia="仿宋"/>
          <w:b/>
          <w:szCs w:val="32"/>
        </w:rPr>
        <w:t>或30分）</w:t>
      </w:r>
    </w:p>
    <w:p>
      <w:pPr>
        <w:spacing w:line="480" w:lineRule="exact"/>
        <w:ind w:firstLine="643" w:firstLineChars="200"/>
        <w:rPr>
          <w:rFonts w:ascii="仿宋" w:hAnsi="仿宋" w:eastAsia="仿宋"/>
          <w:b/>
          <w:color w:val="000000"/>
          <w:szCs w:val="32"/>
        </w:rPr>
      </w:pPr>
      <w:r>
        <w:rPr>
          <w:rFonts w:hint="eastAsia" w:ascii="仿宋" w:hAnsi="仿宋" w:eastAsia="仿宋"/>
          <w:b/>
          <w:szCs w:val="32"/>
        </w:rPr>
        <w:t>方案1：</w:t>
      </w:r>
      <w:r>
        <w:rPr>
          <w:rFonts w:hint="eastAsia" w:ascii="仿宋" w:hAnsi="仿宋" w:eastAsia="仿宋"/>
          <w:b/>
          <w:bCs/>
          <w:color w:val="000000"/>
          <w:szCs w:val="32"/>
        </w:rPr>
        <w:t>以</w:t>
      </w:r>
      <w:r>
        <w:rPr>
          <w:rFonts w:hint="eastAsia" w:ascii="仿宋" w:hAnsi="仿宋" w:eastAsia="仿宋"/>
          <w:b/>
          <w:color w:val="000000"/>
          <w:szCs w:val="32"/>
        </w:rPr>
        <w:t>通过符合性评审的有效投标报价的二次平均价</w:t>
      </w:r>
      <w:r>
        <w:rPr>
          <w:rFonts w:hint="eastAsia" w:ascii="仿宋" w:hAnsi="仿宋" w:eastAsia="仿宋"/>
          <w:b/>
          <w:bCs/>
          <w:color w:val="000000"/>
          <w:szCs w:val="32"/>
        </w:rPr>
        <w:t>作为最佳报</w:t>
      </w:r>
      <w:r>
        <w:rPr>
          <w:rFonts w:ascii="仿宋" w:hAnsi="仿宋" w:eastAsia="仿宋"/>
          <w:b/>
          <w:bCs/>
          <w:color w:val="000000"/>
          <w:szCs w:val="32"/>
        </w:rPr>
        <w:t>价</w:t>
      </w:r>
      <w:r>
        <w:rPr>
          <w:rFonts w:hint="eastAsia" w:ascii="仿宋" w:hAnsi="仿宋" w:eastAsia="仿宋"/>
          <w:b/>
          <w:bCs/>
          <w:color w:val="000000"/>
          <w:szCs w:val="32"/>
        </w:rPr>
        <w:t>。</w:t>
      </w:r>
    </w:p>
    <w:p>
      <w:pPr>
        <w:spacing w:line="480" w:lineRule="exact"/>
        <w:ind w:firstLine="640" w:firstLineChars="200"/>
        <w:rPr>
          <w:rFonts w:ascii="仿宋" w:hAnsi="仿宋" w:eastAsia="仿宋"/>
          <w:bCs/>
          <w:szCs w:val="32"/>
        </w:rPr>
      </w:pPr>
      <w:r>
        <w:rPr>
          <w:rFonts w:hint="eastAsia" w:ascii="仿宋" w:hAnsi="仿宋" w:eastAsia="仿宋"/>
          <w:bCs/>
          <w:szCs w:val="32"/>
        </w:rPr>
        <w:t>对所有通过符合性评审的有效投标人各去除报价最高N家投标单位和最低的N家投标单位（N=通过资格审查的投标单位家数×10%，四舍五入）后进行一次算术平均；然后对一次算术平均值以下（不含本身，不含已去除的N家单位）的报价进行二次算术平均。）</w:t>
      </w:r>
    </w:p>
    <w:p>
      <w:pPr>
        <w:spacing w:line="480" w:lineRule="exact"/>
        <w:ind w:firstLine="643" w:firstLineChars="200"/>
        <w:rPr>
          <w:rFonts w:ascii="仿宋" w:hAnsi="仿宋" w:eastAsia="仿宋"/>
          <w:b/>
          <w:bCs/>
          <w:color w:val="000000"/>
          <w:szCs w:val="32"/>
        </w:rPr>
      </w:pPr>
      <w:r>
        <w:rPr>
          <w:rFonts w:hint="eastAsia" w:ascii="仿宋" w:hAnsi="仿宋" w:eastAsia="仿宋"/>
          <w:b/>
          <w:bCs/>
          <w:color w:val="000000"/>
          <w:szCs w:val="32"/>
        </w:rPr>
        <w:t>以</w:t>
      </w:r>
      <w:r>
        <w:rPr>
          <w:rFonts w:hint="eastAsia" w:ascii="仿宋" w:hAnsi="仿宋" w:eastAsia="仿宋"/>
          <w:b/>
          <w:color w:val="000000"/>
          <w:szCs w:val="32"/>
        </w:rPr>
        <w:t>通过符合性评审的有效投标报价的二次平均价</w:t>
      </w:r>
      <w:r>
        <w:rPr>
          <w:rFonts w:hint="eastAsia" w:ascii="仿宋" w:hAnsi="仿宋" w:eastAsia="仿宋"/>
          <w:b/>
          <w:bCs/>
          <w:color w:val="000000"/>
          <w:szCs w:val="32"/>
        </w:rPr>
        <w:t>作为最佳报价，如二次平均价低于风险控制价的，则以不低于风险控制价的最低投标报价作为最佳报价。</w:t>
      </w:r>
    </w:p>
    <w:p>
      <w:pPr>
        <w:spacing w:line="480" w:lineRule="exact"/>
        <w:ind w:firstLine="640" w:firstLineChars="200"/>
        <w:rPr>
          <w:rFonts w:ascii="仿宋" w:hAnsi="仿宋" w:eastAsia="仿宋"/>
          <w:bCs/>
          <w:szCs w:val="32"/>
        </w:rPr>
      </w:pPr>
      <w:r>
        <w:rPr>
          <w:rFonts w:hint="eastAsia" w:ascii="仿宋" w:hAnsi="仿宋" w:eastAsia="仿宋"/>
          <w:bCs/>
          <w:szCs w:val="32"/>
        </w:rPr>
        <w:t>投标报价等于最佳报价时，商务得分为满分；投标报价每偏离最佳报价</w:t>
      </w:r>
      <w:r>
        <w:rPr>
          <w:rFonts w:ascii="仿宋" w:hAnsi="仿宋" w:eastAsia="仿宋"/>
          <w:bCs/>
          <w:szCs w:val="32"/>
        </w:rPr>
        <w:t>1%</w:t>
      </w:r>
      <w:r>
        <w:rPr>
          <w:rFonts w:hint="eastAsia" w:ascii="仿宋" w:hAnsi="仿宋" w:eastAsia="仿宋"/>
          <w:bCs/>
          <w:szCs w:val="32"/>
        </w:rPr>
        <w:t xml:space="preserve">的扣0. 5～1分；如投标报价低于风险控制价的，每低于最佳报价1%的扣1.5～3分；投标报价每高于或低于最佳报价不足一个百分点时，使用直线插入法计算，计算结果保留两位小数。  </w:t>
      </w:r>
    </w:p>
    <w:p>
      <w:pPr>
        <w:spacing w:line="480" w:lineRule="exact"/>
        <w:ind w:left="480"/>
        <w:rPr>
          <w:rFonts w:ascii="仿宋" w:hAnsi="仿宋" w:eastAsia="仿宋"/>
          <w:b/>
          <w:szCs w:val="32"/>
        </w:rPr>
      </w:pPr>
      <w:r>
        <w:rPr>
          <w:rFonts w:hint="eastAsia" w:ascii="仿宋" w:hAnsi="仿宋" w:eastAsia="仿宋"/>
          <w:b/>
          <w:szCs w:val="32"/>
        </w:rPr>
        <w:t>方案</w:t>
      </w:r>
      <w:r>
        <w:rPr>
          <w:rFonts w:ascii="仿宋" w:hAnsi="仿宋" w:eastAsia="仿宋"/>
          <w:b/>
          <w:szCs w:val="32"/>
        </w:rPr>
        <w:t>2：</w:t>
      </w:r>
    </w:p>
    <w:p>
      <w:pPr>
        <w:spacing w:line="480" w:lineRule="exact"/>
        <w:ind w:firstLine="482" w:firstLineChars="150"/>
        <w:rPr>
          <w:rFonts w:ascii="仿宋" w:hAnsi="仿宋" w:eastAsia="仿宋"/>
          <w:b/>
          <w:szCs w:val="32"/>
        </w:rPr>
      </w:pPr>
      <w:r>
        <w:rPr>
          <w:rFonts w:hint="eastAsia" w:ascii="仿宋" w:hAnsi="仿宋" w:eastAsia="仿宋"/>
          <w:b/>
          <w:szCs w:val="32"/>
        </w:rPr>
        <w:t>以通过符合性评审且技术</w:t>
      </w:r>
      <w:r>
        <w:rPr>
          <w:rFonts w:ascii="仿宋" w:hAnsi="仿宋" w:eastAsia="仿宋"/>
          <w:b/>
          <w:szCs w:val="32"/>
        </w:rPr>
        <w:t>+</w:t>
      </w:r>
      <w:r>
        <w:rPr>
          <w:rFonts w:hint="eastAsia" w:ascii="仿宋" w:hAnsi="仿宋" w:eastAsia="仿宋"/>
          <w:b/>
          <w:szCs w:val="32"/>
        </w:rPr>
        <w:t>资信合计总分前</w:t>
      </w:r>
      <w:r>
        <w:rPr>
          <w:rFonts w:ascii="仿宋" w:hAnsi="仿宋" w:eastAsia="仿宋"/>
          <w:b/>
          <w:szCs w:val="32"/>
        </w:rPr>
        <w:t>N</w:t>
      </w:r>
      <w:r>
        <w:rPr>
          <w:rFonts w:hint="eastAsia" w:ascii="仿宋" w:hAnsi="仿宋" w:eastAsia="仿宋"/>
          <w:b/>
          <w:szCs w:val="32"/>
        </w:rPr>
        <w:t>名的有</w:t>
      </w:r>
    </w:p>
    <w:p>
      <w:pPr>
        <w:spacing w:line="480" w:lineRule="exact"/>
        <w:rPr>
          <w:rFonts w:ascii="仿宋" w:hAnsi="仿宋" w:eastAsia="仿宋"/>
          <w:bCs/>
          <w:szCs w:val="32"/>
        </w:rPr>
      </w:pPr>
      <w:r>
        <w:rPr>
          <w:rFonts w:hint="eastAsia" w:ascii="仿宋" w:hAnsi="仿宋" w:eastAsia="仿宋"/>
          <w:b/>
          <w:szCs w:val="32"/>
        </w:rPr>
        <w:t>效投标报价的最低价为最佳报价。</w:t>
      </w:r>
      <w:r>
        <w:rPr>
          <w:rFonts w:hint="eastAsia" w:ascii="仿宋" w:hAnsi="仿宋" w:eastAsia="仿宋"/>
          <w:spacing w:val="-12"/>
        </w:rPr>
        <w:t>（</w:t>
      </w:r>
      <w:r>
        <w:rPr>
          <w:rFonts w:ascii="仿宋" w:hAnsi="仿宋" w:eastAsia="仿宋"/>
          <w:spacing w:val="-12"/>
        </w:rPr>
        <w:t>N</w:t>
      </w:r>
      <w:r>
        <w:rPr>
          <w:rFonts w:hint="eastAsia" w:ascii="仿宋" w:hAnsi="仿宋" w:eastAsia="仿宋"/>
          <w:spacing w:val="-12"/>
        </w:rPr>
        <w:t>≧</w:t>
      </w:r>
      <w:r>
        <w:rPr>
          <w:rFonts w:ascii="仿宋" w:hAnsi="仿宋" w:eastAsia="仿宋"/>
          <w:spacing w:val="-12"/>
        </w:rPr>
        <w:t>5</w:t>
      </w:r>
      <w:r>
        <w:rPr>
          <w:rFonts w:hint="eastAsia" w:ascii="仿宋" w:hAnsi="仿宋" w:eastAsia="仿宋"/>
          <w:spacing w:val="-12"/>
        </w:rPr>
        <w:t>名，具体数值由招标人在招标</w:t>
      </w:r>
      <w:r>
        <w:rPr>
          <w:rFonts w:hint="eastAsia" w:ascii="仿宋" w:hAnsi="仿宋" w:eastAsia="仿宋"/>
          <w:bCs/>
          <w:szCs w:val="32"/>
        </w:rPr>
        <w:t>文件中明确；第N名并列的均进。）</w:t>
      </w:r>
      <w:r>
        <w:rPr>
          <w:rFonts w:hint="eastAsia" w:ascii="仿宋" w:hAnsi="仿宋" w:eastAsia="仿宋"/>
          <w:spacing w:val="-12"/>
        </w:rPr>
        <w:t xml:space="preserve"> </w:t>
      </w:r>
    </w:p>
    <w:p>
      <w:pPr>
        <w:spacing w:line="480" w:lineRule="exact"/>
        <w:ind w:firstLine="480" w:firstLineChars="150"/>
        <w:rPr>
          <w:rFonts w:ascii="仿宋" w:hAnsi="仿宋" w:eastAsia="仿宋"/>
          <w:bCs/>
          <w:szCs w:val="32"/>
        </w:rPr>
      </w:pPr>
      <w:r>
        <w:rPr>
          <w:rFonts w:hint="eastAsia" w:ascii="仿宋" w:hAnsi="仿宋" w:eastAsia="仿宋"/>
          <w:bCs/>
          <w:szCs w:val="32"/>
        </w:rPr>
        <w:t>投标报价等于最佳报价时，商务得分为满分；投标报价每偏离最佳报价</w:t>
      </w:r>
      <w:r>
        <w:rPr>
          <w:rFonts w:ascii="仿宋" w:hAnsi="仿宋" w:eastAsia="仿宋"/>
          <w:bCs/>
          <w:szCs w:val="32"/>
        </w:rPr>
        <w:t>1%</w:t>
      </w:r>
      <w:r>
        <w:rPr>
          <w:rFonts w:hint="eastAsia" w:ascii="仿宋" w:hAnsi="仿宋" w:eastAsia="仿宋"/>
          <w:bCs/>
          <w:szCs w:val="32"/>
        </w:rPr>
        <w:t>的扣</w:t>
      </w:r>
      <w:r>
        <w:rPr>
          <w:rFonts w:ascii="仿宋" w:hAnsi="仿宋" w:eastAsia="仿宋"/>
          <w:bCs/>
          <w:szCs w:val="32"/>
        </w:rPr>
        <w:t>0.</w:t>
      </w:r>
      <w:r>
        <w:rPr>
          <w:rFonts w:hint="eastAsia" w:ascii="仿宋" w:hAnsi="仿宋" w:eastAsia="仿宋"/>
          <w:bCs/>
          <w:szCs w:val="32"/>
        </w:rPr>
        <w:t xml:space="preserve">5～1分。投标报价每高于或低于最佳报价不足一个百分点时，使用直线插入法计算，计算结果保留两位小数。 </w:t>
      </w:r>
    </w:p>
    <w:p>
      <w:pPr>
        <w:spacing w:line="480" w:lineRule="exact"/>
        <w:ind w:firstLine="480" w:firstLineChars="150"/>
        <w:rPr>
          <w:rFonts w:ascii="仿宋" w:hAnsi="仿宋" w:eastAsia="仿宋"/>
          <w:bCs/>
          <w:szCs w:val="32"/>
        </w:rPr>
      </w:pPr>
      <w:r>
        <w:rPr>
          <w:rFonts w:hint="eastAsia" w:ascii="仿宋" w:hAnsi="仿宋" w:eastAsia="仿宋"/>
          <w:bCs/>
          <w:szCs w:val="32"/>
        </w:rPr>
        <w:t>上述两种方案由招标人根据项目情况自行选择使用。</w:t>
      </w:r>
    </w:p>
    <w:p>
      <w:pPr>
        <w:spacing w:line="480" w:lineRule="exact"/>
        <w:ind w:firstLine="482" w:firstLineChars="150"/>
        <w:rPr>
          <w:rFonts w:ascii="仿宋" w:hAnsi="仿宋" w:eastAsia="仿宋"/>
          <w:b/>
          <w:szCs w:val="32"/>
        </w:rPr>
      </w:pPr>
    </w:p>
    <w:p>
      <w:pPr>
        <w:spacing w:line="480" w:lineRule="exact"/>
        <w:ind w:firstLine="482" w:firstLineChars="150"/>
        <w:rPr>
          <w:rFonts w:ascii="仿宋" w:hAnsi="仿宋" w:eastAsia="仿宋"/>
          <w:b/>
          <w:szCs w:val="32"/>
        </w:rPr>
      </w:pPr>
      <w:r>
        <w:rPr>
          <w:rFonts w:ascii="仿宋" w:hAnsi="仿宋" w:eastAsia="仿宋"/>
          <w:b/>
          <w:szCs w:val="32"/>
        </w:rPr>
        <w:t>七、推荐中标候选人</w:t>
      </w:r>
    </w:p>
    <w:p>
      <w:pPr>
        <w:spacing w:line="480" w:lineRule="exact"/>
        <w:ind w:firstLine="640" w:firstLineChars="200"/>
        <w:rPr>
          <w:rFonts w:ascii="仿宋" w:hAnsi="仿宋" w:eastAsia="仿宋"/>
          <w:bCs/>
          <w:szCs w:val="32"/>
        </w:rPr>
      </w:pPr>
      <w:r>
        <w:rPr>
          <w:rFonts w:ascii="仿宋" w:hAnsi="仿宋" w:eastAsia="仿宋"/>
          <w:bCs/>
          <w:szCs w:val="32"/>
        </w:rPr>
        <w:t>评标委员会对</w:t>
      </w:r>
      <w:r>
        <w:rPr>
          <w:rFonts w:hint="eastAsia" w:ascii="仿宋" w:hAnsi="仿宋" w:eastAsia="仿宋"/>
          <w:bCs/>
          <w:szCs w:val="32"/>
        </w:rPr>
        <w:t>有效</w:t>
      </w:r>
      <w:r>
        <w:rPr>
          <w:rFonts w:ascii="仿宋" w:hAnsi="仿宋" w:eastAsia="仿宋"/>
          <w:bCs/>
          <w:szCs w:val="32"/>
        </w:rPr>
        <w:t>投标人按总分从高到低进行排序，根据排序</w:t>
      </w:r>
      <w:r>
        <w:rPr>
          <w:rFonts w:hint="eastAsia" w:ascii="仿宋" w:hAnsi="仿宋" w:eastAsia="仿宋"/>
          <w:bCs/>
          <w:szCs w:val="32"/>
        </w:rPr>
        <w:t>及招标文件的要</w:t>
      </w:r>
      <w:r>
        <w:rPr>
          <w:rFonts w:hint="eastAsia" w:ascii="仿宋" w:hAnsi="仿宋" w:eastAsia="仿宋"/>
          <w:bCs/>
          <w:color w:val="000000"/>
          <w:szCs w:val="32"/>
        </w:rPr>
        <w:t>求</w:t>
      </w:r>
      <w:r>
        <w:rPr>
          <w:rFonts w:ascii="仿宋" w:hAnsi="仿宋" w:eastAsia="仿宋"/>
          <w:bCs/>
          <w:color w:val="000000"/>
          <w:szCs w:val="32"/>
        </w:rPr>
        <w:t>推荐</w:t>
      </w:r>
      <w:r>
        <w:rPr>
          <w:rFonts w:hint="eastAsia" w:ascii="仿宋" w:hAnsi="仿宋" w:eastAsia="仿宋"/>
          <w:bCs/>
          <w:color w:val="000000"/>
          <w:szCs w:val="32"/>
        </w:rPr>
        <w:t>1~3名</w:t>
      </w:r>
      <w:r>
        <w:rPr>
          <w:rFonts w:ascii="仿宋" w:hAnsi="仿宋" w:eastAsia="仿宋"/>
          <w:bCs/>
          <w:color w:val="000000"/>
          <w:szCs w:val="32"/>
        </w:rPr>
        <w:t>中</w:t>
      </w:r>
      <w:r>
        <w:rPr>
          <w:rFonts w:ascii="仿宋" w:hAnsi="仿宋" w:eastAsia="仿宋"/>
          <w:bCs/>
          <w:szCs w:val="32"/>
        </w:rPr>
        <w:t>标候选人。如投标人总分相同的，以投标报价低的排前；如投标人的投标报价仍相同的，以技术分排名靠前的排前；如投标人的技术分仍相同的，以信用评价靠前的排前；上述均相同的，由评标委员会抽签确定。</w:t>
      </w:r>
      <w:r>
        <w:rPr>
          <w:rFonts w:hint="eastAsia" w:ascii="仿宋" w:hAnsi="仿宋" w:eastAsia="仿宋"/>
          <w:bCs/>
          <w:szCs w:val="32"/>
        </w:rPr>
        <w:t xml:space="preserve"> </w:t>
      </w:r>
    </w:p>
    <w:p>
      <w:pPr>
        <w:spacing w:line="480" w:lineRule="exact"/>
        <w:ind w:firstLine="640" w:firstLineChars="200"/>
        <w:rPr>
          <w:rFonts w:ascii="仿宋" w:hAnsi="仿宋" w:eastAsia="仿宋"/>
          <w:bCs/>
          <w:szCs w:val="32"/>
        </w:rPr>
      </w:pPr>
      <w:r>
        <w:rPr>
          <w:rFonts w:hint="eastAsia" w:ascii="仿宋" w:hAnsi="仿宋" w:eastAsia="仿宋"/>
          <w:bCs/>
          <w:szCs w:val="32"/>
        </w:rPr>
        <w:t>当有效投标人＜3个的，评标委员会应判定本次投标是否具有竞争力，若评标委员会认为本次投标明显缺乏竞争的，可以否决全部投标；如判定仍具有竞争力，以最低报价的投标人为第一中标候选人。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02687"/>
    <w:rsid w:val="0520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hint="eastAsia" w:ascii="宋体" w:hAnsi="宋体" w:eastAsia="宋体"/>
      <w:kern w:val="0"/>
      <w:sz w:val="24"/>
    </w:rPr>
  </w:style>
  <w:style w:type="paragraph" w:customStyle="1" w:styleId="5">
    <w:name w:val="Char"/>
    <w:basedOn w:val="1"/>
    <w:qFormat/>
    <w:uiPriority w:val="0"/>
    <w:rPr>
      <w:rFonts w:ascii="Calibri" w:hAnsi="Calibri" w:eastAsia="宋体"/>
      <w:sz w:val="21"/>
      <w:szCs w:val="22"/>
    </w:rPr>
  </w:style>
  <w:style w:type="paragraph" w:customStyle="1" w:styleId="6">
    <w:name w:val="样式 正文文本"/>
    <w:basedOn w:val="1"/>
    <w:qFormat/>
    <w:uiPriority w:val="0"/>
    <w:pPr>
      <w:adjustRightInd w:val="0"/>
      <w:snapToGrid w:val="0"/>
      <w:spacing w:line="400" w:lineRule="exact"/>
    </w:pPr>
    <w:rPr>
      <w:rFonts w:ascii="Arial" w:hAnsi="Arial" w:eastAsia="宋体"/>
      <w:color w:val="000000"/>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2020-09-29T06:27:00Z</dcterms:created>
  <dc:creator>董梦佳</dc:creator>
  <cp:lastModifiedBy>董梦佳</cp:lastModifiedBy>
  <dcterms:modified xsi:type="dcterms:W3CDTF">2020-09-29T06:27:48Z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